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drawings/drawing1.xml" ContentType="application/vnd.openxmlformats-officedocument.drawingml.chartshapes+xml"/>
  <Override PartName="/word/drawings/drawing2.xml" ContentType="application/vnd.openxmlformats-officedocument.drawingml.chartshapes+xml"/>
  <Override PartName="/word/drawings/drawing3.xml" ContentType="application/vnd.openxmlformats-officedocument.drawingml.chartshap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hint="eastAsia" w:ascii="方正小标宋简体" w:hAnsi="宋体" w:eastAsia="方正小标宋简体"/>
          <w:szCs w:val="21"/>
        </w:rPr>
      </w:pPr>
      <w:bookmarkStart w:id="0" w:name="_Toc15306267"/>
    </w:p>
    <w:p>
      <w:pPr>
        <w:pStyle w:val="2"/>
        <w:spacing w:before="93"/>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96597"/>
      <w:bookmarkStart w:id="2" w:name="_Toc15378441"/>
      <w:bookmarkStart w:id="3" w:name="_Toc15396475"/>
      <w:bookmarkStart w:id="4" w:name="_Toc15377425"/>
      <w:bookmarkStart w:id="5" w:name="_Toc15377193"/>
      <w:bookmarkStart w:id="6" w:name="_Toc142059059"/>
      <w:r>
        <w:rPr>
          <w:rFonts w:hint="eastAsia" w:ascii="方正小标宋简体" w:hAnsi="方正小标宋简体" w:eastAsia="方正小标宋简体" w:cs="方正小标宋简体"/>
          <w:sz w:val="72"/>
          <w:szCs w:val="72"/>
        </w:rPr>
        <w:t>2022年度</w:t>
      </w:r>
      <w:bookmarkEnd w:id="1"/>
      <w:bookmarkEnd w:id="2"/>
      <w:bookmarkEnd w:id="3"/>
      <w:bookmarkEnd w:id="4"/>
      <w:bookmarkEnd w:id="5"/>
      <w:bookmarkEnd w:id="6"/>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7" w:name="_Toc142059060"/>
      <w:bookmarkStart w:id="8" w:name="_Toc15377194"/>
      <w:bookmarkStart w:id="9" w:name="_Toc15378442"/>
      <w:bookmarkStart w:id="10" w:name="_Toc15377426"/>
      <w:bookmarkStart w:id="11" w:name="_Toc15396476"/>
      <w:bookmarkStart w:id="12" w:name="_Toc15396598"/>
      <w:r>
        <w:rPr>
          <w:rFonts w:hint="eastAsia" w:ascii="方正小标宋简体" w:hAnsi="方正小标宋简体" w:eastAsia="方正小标宋简体" w:cs="方正小标宋简体"/>
          <w:sz w:val="72"/>
          <w:szCs w:val="72"/>
        </w:rPr>
        <w:t>四川省</w:t>
      </w:r>
      <w:bookmarkEnd w:id="0"/>
      <w:bookmarkStart w:id="13" w:name="_Toc15306268"/>
      <w:r>
        <w:rPr>
          <w:rFonts w:hint="eastAsia" w:ascii="方正小标宋简体" w:hAnsi="方正小标宋简体" w:eastAsia="方正小标宋简体" w:cs="方正小标宋简体"/>
          <w:sz w:val="72"/>
          <w:szCs w:val="72"/>
        </w:rPr>
        <w:t>地质矿产勘查开发局</w:t>
      </w:r>
      <w:bookmarkEnd w:id="7"/>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4" w:name="_Toc142059061"/>
      <w:r>
        <w:rPr>
          <w:rFonts w:ascii="方正小标宋简体" w:hAnsi="方正小标宋简体" w:eastAsia="方正小标宋简体" w:cs="方正小标宋简体"/>
          <w:sz w:val="72"/>
          <w:szCs w:val="72"/>
        </w:rPr>
        <w:t>成都水文地质工程地质队</w:t>
      </w:r>
      <w:bookmarkEnd w:id="14"/>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5" w:name="_Toc142059062"/>
      <w:r>
        <w:rPr>
          <w:rFonts w:hint="eastAsia" w:ascii="方正小标宋简体" w:hAnsi="方正小标宋简体" w:eastAsia="方正小标宋简体" w:cs="方正小标宋简体"/>
          <w:sz w:val="72"/>
          <w:szCs w:val="72"/>
        </w:rPr>
        <w:t>单位决算</w:t>
      </w:r>
      <w:bookmarkEnd w:id="8"/>
      <w:bookmarkEnd w:id="9"/>
      <w:bookmarkEnd w:id="10"/>
      <w:bookmarkEnd w:id="11"/>
      <w:bookmarkEnd w:id="12"/>
      <w:bookmarkEnd w:id="13"/>
      <w:bookmarkEnd w:id="15"/>
    </w:p>
    <w:p>
      <w:pPr>
        <w:widowControl/>
        <w:jc w:val="center"/>
        <w:rPr>
          <w:rFonts w:ascii="黑体" w:hAnsi="黑体" w:eastAsia="黑体"/>
          <w:sz w:val="48"/>
          <w:szCs w:val="48"/>
        </w:rPr>
        <w:sectPr>
          <w:headerReference r:id="rId3" w:type="default"/>
          <w:pgSz w:w="11906" w:h="16838"/>
          <w:pgMar w:top="1440" w:right="1588" w:bottom="1440" w:left="1588" w:header="851" w:footer="992" w:gutter="0"/>
          <w:pgNumType w:start="4"/>
          <w:cols w:space="425" w:num="1"/>
          <w:titlePg/>
          <w:docGrid w:type="lines" w:linePitch="312" w:charSpace="0"/>
        </w:sectPr>
      </w:pPr>
    </w:p>
    <w:p>
      <w:pPr>
        <w:widowControl/>
        <w:jc w:val="center"/>
        <w:rPr>
          <w:rFonts w:ascii="黑体" w:hAnsi="黑体" w:eastAsia="黑体"/>
          <w:sz w:val="48"/>
          <w:szCs w:val="48"/>
        </w:rPr>
      </w:pP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0"/>
      </w:pPr>
      <w:r>
        <w:rPr>
          <w:rFonts w:hint="eastAsia"/>
        </w:rPr>
        <w:t>公开时间：2023年9月6日</w:t>
      </w:r>
    </w:p>
    <w:sdt>
      <w:sdtPr>
        <w:rPr>
          <w:rFonts w:ascii="Times New Roman" w:hAnsi="Times New Roman" w:eastAsia="宋体" w:cs="Times New Roman"/>
          <w:color w:val="auto"/>
          <w:kern w:val="2"/>
          <w:sz w:val="21"/>
          <w:szCs w:val="24"/>
          <w:lang w:val="zh-CN"/>
        </w:rPr>
        <w:id w:val="-1642179680"/>
        <w:docPartObj>
          <w:docPartGallery w:val="Table of Contents"/>
          <w:docPartUnique/>
        </w:docPartObj>
      </w:sdtPr>
      <w:sdtEndPr>
        <w:rPr>
          <w:rFonts w:ascii="Times New Roman" w:hAnsi="Times New Roman" w:eastAsia="宋体" w:cs="Times New Roman"/>
          <w:b/>
          <w:bCs/>
          <w:color w:val="auto"/>
          <w:kern w:val="2"/>
          <w:sz w:val="21"/>
          <w:szCs w:val="24"/>
          <w:lang w:val="zh-CN"/>
        </w:rPr>
      </w:sdtEndPr>
      <w:sdtContent>
        <w:p>
          <w:pPr>
            <w:pStyle w:val="30"/>
          </w:pPr>
          <w:r>
            <w:fldChar w:fldCharType="begin"/>
          </w:r>
          <w:r>
            <w:instrText xml:space="preserve"> TOC \o "1-3" \h \z \u </w:instrText>
          </w:r>
          <w:r>
            <w:fldChar w:fldCharType="separate"/>
          </w:r>
        </w:p>
        <w:p>
          <w:pPr>
            <w:pStyle w:val="10"/>
            <w:rPr>
              <w:rFonts w:asciiTheme="minorHAnsi" w:hAnsiTheme="minorHAnsi" w:eastAsiaTheme="minorEastAsia" w:cstheme="minorBidi"/>
              <w:sz w:val="21"/>
              <w:szCs w:val="22"/>
            </w:rPr>
          </w:pPr>
          <w:r>
            <w:fldChar w:fldCharType="begin"/>
          </w:r>
          <w:r>
            <w:instrText xml:space="preserve"> HYPERLINK \l "_Toc142059063" </w:instrText>
          </w:r>
          <w:r>
            <w:fldChar w:fldCharType="separate"/>
          </w:r>
          <w:r>
            <w:rPr>
              <w:sz w:val="24"/>
            </w:rPr>
            <w:t>第一部分 单位概况</w:t>
          </w:r>
          <w:r>
            <w:rPr>
              <w:sz w:val="24"/>
            </w:rPr>
            <w:tab/>
          </w:r>
          <w:r>
            <w:rPr>
              <w:rFonts w:ascii="Times New Roman" w:hAnsi="Times New Roman" w:eastAsia="宋体"/>
              <w:sz w:val="21"/>
              <w:szCs w:val="24"/>
            </w:rPr>
            <w:fldChar w:fldCharType="begin"/>
          </w:r>
          <w:r>
            <w:rPr>
              <w:rFonts w:ascii="Times New Roman" w:hAnsi="Times New Roman" w:eastAsia="宋体"/>
              <w:sz w:val="21"/>
              <w:szCs w:val="24"/>
            </w:rPr>
            <w:instrText xml:space="preserve"> PAGEREF _Toc142059064 \h </w:instrText>
          </w:r>
          <w:r>
            <w:rPr>
              <w:rFonts w:ascii="Times New Roman" w:hAnsi="Times New Roman" w:eastAsia="宋体"/>
              <w:sz w:val="21"/>
              <w:szCs w:val="24"/>
            </w:rPr>
            <w:fldChar w:fldCharType="separate"/>
          </w:r>
          <w:r>
            <w:rPr>
              <w:rFonts w:ascii="Times New Roman" w:hAnsi="Times New Roman" w:eastAsia="宋体"/>
              <w:sz w:val="21"/>
              <w:szCs w:val="24"/>
            </w:rPr>
            <w:t>1</w:t>
          </w:r>
          <w:r>
            <w:rPr>
              <w:rFonts w:ascii="Times New Roman" w:hAnsi="Times New Roman" w:eastAsia="宋体"/>
              <w:sz w:val="21"/>
              <w:szCs w:val="24"/>
            </w:rPr>
            <w:fldChar w:fldCharType="end"/>
          </w:r>
          <w:r>
            <w:rPr>
              <w:rFonts w:ascii="Times New Roman" w:hAnsi="Times New Roman" w:eastAsia="宋体"/>
              <w:sz w:val="21"/>
              <w:szCs w:val="24"/>
            </w:rPr>
            <w:fldChar w:fldCharType="end"/>
          </w:r>
        </w:p>
        <w:p>
          <w:pPr>
            <w:pStyle w:val="11"/>
            <w:rPr>
              <w:rFonts w:asciiTheme="minorHAnsi" w:hAnsiTheme="minorHAnsi" w:eastAsiaTheme="minorEastAsia" w:cstheme="minorBidi"/>
              <w:szCs w:val="22"/>
            </w:rPr>
          </w:pPr>
          <w:r>
            <w:fldChar w:fldCharType="begin"/>
          </w:r>
          <w:r>
            <w:instrText xml:space="preserve"> HYPERLINK \l "_Toc142059064" </w:instrText>
          </w:r>
          <w:r>
            <w:fldChar w:fldCharType="separate"/>
          </w:r>
          <w:r>
            <w:rPr>
              <w:sz w:val="24"/>
            </w:rPr>
            <w:t>一、 主要职责</w:t>
          </w:r>
          <w:r>
            <w:tab/>
          </w:r>
          <w:r>
            <w:fldChar w:fldCharType="begin"/>
          </w:r>
          <w:r>
            <w:instrText xml:space="preserve"> PAGEREF _Toc142059064 \h </w:instrText>
          </w:r>
          <w:r>
            <w:fldChar w:fldCharType="separate"/>
          </w:r>
          <w:r>
            <w:t>1</w:t>
          </w:r>
          <w:r>
            <w:fldChar w:fldCharType="end"/>
          </w:r>
          <w:r>
            <w:fldChar w:fldCharType="end"/>
          </w:r>
        </w:p>
        <w:p>
          <w:pPr>
            <w:pStyle w:val="11"/>
            <w:adjustRightInd w:val="0"/>
            <w:snapToGrid w:val="0"/>
            <w:spacing w:line="440" w:lineRule="exact"/>
            <w:jc w:val="left"/>
            <w:rPr>
              <w:rFonts w:asciiTheme="minorHAnsi" w:hAnsiTheme="minorHAnsi" w:eastAsiaTheme="minorEastAsia" w:cstheme="minorBidi"/>
              <w:szCs w:val="22"/>
            </w:rPr>
          </w:pPr>
          <w:r>
            <w:fldChar w:fldCharType="begin"/>
          </w:r>
          <w:r>
            <w:instrText xml:space="preserve"> HYPERLINK \l "_Toc142059065" </w:instrText>
          </w:r>
          <w:r>
            <w:fldChar w:fldCharType="separate"/>
          </w:r>
          <w:r>
            <w:rPr>
              <w:sz w:val="24"/>
            </w:rPr>
            <w:t>二、</w:t>
          </w:r>
          <w:r>
            <w:rPr>
              <w:rFonts w:hint="eastAsia"/>
              <w:sz w:val="24"/>
            </w:rPr>
            <w:t xml:space="preserve"> </w:t>
          </w:r>
          <w:r>
            <w:rPr>
              <w:sz w:val="24"/>
            </w:rPr>
            <w:t>机构设置</w:t>
          </w:r>
          <w:r>
            <w:tab/>
          </w:r>
          <w:r>
            <w:fldChar w:fldCharType="begin"/>
          </w:r>
          <w:r>
            <w:instrText xml:space="preserve"> PAGEREF _Toc142059065 \h </w:instrText>
          </w:r>
          <w:r>
            <w:fldChar w:fldCharType="separate"/>
          </w:r>
          <w:r>
            <w:t>1</w:t>
          </w:r>
          <w:r>
            <w:fldChar w:fldCharType="end"/>
          </w:r>
          <w:r>
            <w:fldChar w:fldCharType="end"/>
          </w:r>
        </w:p>
        <w:p>
          <w:pPr>
            <w:pStyle w:val="10"/>
            <w:adjustRightInd w:val="0"/>
            <w:snapToGrid w:val="0"/>
            <w:spacing w:before="0" w:line="440" w:lineRule="exact"/>
            <w:jc w:val="left"/>
            <w:rPr>
              <w:rFonts w:asciiTheme="minorHAnsi" w:hAnsiTheme="minorHAnsi" w:eastAsiaTheme="minorEastAsia" w:cstheme="minorBidi"/>
              <w:sz w:val="21"/>
              <w:szCs w:val="22"/>
            </w:rPr>
          </w:pPr>
          <w:r>
            <w:fldChar w:fldCharType="begin"/>
          </w:r>
          <w:r>
            <w:instrText xml:space="preserve"> HYPERLINK \l "_Toc142059066" </w:instrText>
          </w:r>
          <w:r>
            <w:fldChar w:fldCharType="separate"/>
          </w:r>
          <w:r>
            <w:rPr>
              <w:sz w:val="24"/>
            </w:rPr>
            <w:t>第二部分 2022年度单位决算情况说明</w:t>
          </w:r>
          <w:r>
            <w:tab/>
          </w:r>
          <w:r>
            <w:rPr>
              <w:rFonts w:ascii="Times New Roman" w:hAnsi="Times New Roman" w:eastAsia="宋体"/>
              <w:sz w:val="21"/>
              <w:szCs w:val="24"/>
            </w:rPr>
            <w:fldChar w:fldCharType="begin"/>
          </w:r>
          <w:r>
            <w:rPr>
              <w:rFonts w:ascii="Times New Roman" w:hAnsi="Times New Roman" w:eastAsia="宋体"/>
              <w:sz w:val="21"/>
              <w:szCs w:val="24"/>
            </w:rPr>
            <w:instrText xml:space="preserve"> PAGEREF _Toc142059066 \h </w:instrText>
          </w:r>
          <w:r>
            <w:rPr>
              <w:rFonts w:ascii="Times New Roman" w:hAnsi="Times New Roman" w:eastAsia="宋体"/>
              <w:sz w:val="21"/>
              <w:szCs w:val="24"/>
            </w:rPr>
            <w:fldChar w:fldCharType="separate"/>
          </w:r>
          <w:r>
            <w:rPr>
              <w:rFonts w:ascii="Times New Roman" w:hAnsi="Times New Roman" w:eastAsia="宋体"/>
              <w:sz w:val="21"/>
              <w:szCs w:val="24"/>
            </w:rPr>
            <w:t>2</w:t>
          </w:r>
          <w:r>
            <w:rPr>
              <w:rFonts w:ascii="Times New Roman" w:hAnsi="Times New Roman" w:eastAsia="宋体"/>
              <w:sz w:val="21"/>
              <w:szCs w:val="24"/>
            </w:rPr>
            <w:fldChar w:fldCharType="end"/>
          </w:r>
          <w:r>
            <w:rPr>
              <w:rFonts w:ascii="Times New Roman" w:hAnsi="Times New Roman" w:eastAsia="宋体"/>
              <w:sz w:val="21"/>
              <w:szCs w:val="24"/>
            </w:rPr>
            <w:fldChar w:fldCharType="end"/>
          </w:r>
        </w:p>
        <w:p>
          <w:pPr>
            <w:pStyle w:val="11"/>
            <w:adjustRightInd w:val="0"/>
            <w:snapToGrid w:val="0"/>
            <w:spacing w:line="440" w:lineRule="exact"/>
            <w:jc w:val="left"/>
            <w:rPr>
              <w:rFonts w:asciiTheme="minorHAnsi" w:hAnsiTheme="minorHAnsi" w:eastAsiaTheme="minorEastAsia" w:cstheme="minorBidi"/>
              <w:szCs w:val="22"/>
            </w:rPr>
          </w:pPr>
          <w:r>
            <w:fldChar w:fldCharType="begin"/>
          </w:r>
          <w:r>
            <w:instrText xml:space="preserve"> HYPERLINK \l "_Toc142059067" </w:instrText>
          </w:r>
          <w:r>
            <w:fldChar w:fldCharType="separate"/>
          </w:r>
          <w:r>
            <w:rPr>
              <w:sz w:val="24"/>
            </w:rPr>
            <w:t>一、收入支出决算总体情况说明</w:t>
          </w:r>
          <w:r>
            <w:tab/>
          </w:r>
          <w:r>
            <w:fldChar w:fldCharType="begin"/>
          </w:r>
          <w:r>
            <w:instrText xml:space="preserve"> PAGEREF _Toc142059067 \h </w:instrText>
          </w:r>
          <w:r>
            <w:fldChar w:fldCharType="separate"/>
          </w:r>
          <w:r>
            <w:t>2</w:t>
          </w:r>
          <w:r>
            <w:fldChar w:fldCharType="end"/>
          </w:r>
          <w:r>
            <w:fldChar w:fldCharType="end"/>
          </w:r>
        </w:p>
        <w:p>
          <w:pPr>
            <w:pStyle w:val="11"/>
            <w:adjustRightInd w:val="0"/>
            <w:snapToGrid w:val="0"/>
            <w:spacing w:line="440" w:lineRule="exact"/>
            <w:jc w:val="left"/>
            <w:rPr>
              <w:rFonts w:asciiTheme="minorHAnsi" w:hAnsiTheme="minorHAnsi" w:eastAsiaTheme="minorEastAsia" w:cstheme="minorBidi"/>
              <w:szCs w:val="22"/>
            </w:rPr>
          </w:pPr>
          <w:r>
            <w:fldChar w:fldCharType="begin"/>
          </w:r>
          <w:r>
            <w:instrText xml:space="preserve"> HYPERLINK \l "_Toc142059068" </w:instrText>
          </w:r>
          <w:r>
            <w:fldChar w:fldCharType="separate"/>
          </w:r>
          <w:r>
            <w:rPr>
              <w:sz w:val="24"/>
            </w:rPr>
            <w:t>二、收入决算情况说明</w:t>
          </w:r>
          <w:r>
            <w:tab/>
          </w:r>
          <w:r>
            <w:fldChar w:fldCharType="begin"/>
          </w:r>
          <w:r>
            <w:instrText xml:space="preserve"> PAGEREF _Toc142059068 \h </w:instrText>
          </w:r>
          <w:r>
            <w:fldChar w:fldCharType="separate"/>
          </w:r>
          <w:r>
            <w:t>2</w:t>
          </w:r>
          <w:r>
            <w:fldChar w:fldCharType="end"/>
          </w:r>
          <w:r>
            <w:fldChar w:fldCharType="end"/>
          </w:r>
        </w:p>
        <w:p>
          <w:pPr>
            <w:pStyle w:val="11"/>
            <w:adjustRightInd w:val="0"/>
            <w:snapToGrid w:val="0"/>
            <w:spacing w:line="440" w:lineRule="exact"/>
            <w:jc w:val="left"/>
            <w:rPr>
              <w:sz w:val="24"/>
            </w:rPr>
          </w:pPr>
          <w:r>
            <w:fldChar w:fldCharType="begin"/>
          </w:r>
          <w:r>
            <w:instrText xml:space="preserve"> HYPERLINK \l "_Toc142059070" </w:instrText>
          </w:r>
          <w:r>
            <w:fldChar w:fldCharType="separate"/>
          </w:r>
          <w:r>
            <w:rPr>
              <w:sz w:val="24"/>
            </w:rPr>
            <w:t>三、支出决算情况说明</w:t>
          </w:r>
          <w:r>
            <w:rPr>
              <w:sz w:val="24"/>
            </w:rPr>
            <w:tab/>
          </w:r>
          <w:r>
            <w:rPr>
              <w:sz w:val="24"/>
            </w:rPr>
            <w:fldChar w:fldCharType="begin"/>
          </w:r>
          <w:r>
            <w:rPr>
              <w:sz w:val="24"/>
            </w:rPr>
            <w:instrText xml:space="preserve"> PAGEREF _Toc142059070 \h </w:instrText>
          </w:r>
          <w:r>
            <w:rPr>
              <w:sz w:val="24"/>
            </w:rPr>
            <w:fldChar w:fldCharType="separate"/>
          </w:r>
          <w:r>
            <w:rPr>
              <w:sz w:val="24"/>
            </w:rPr>
            <w:t>3</w:t>
          </w:r>
          <w:r>
            <w:rPr>
              <w:sz w:val="24"/>
            </w:rPr>
            <w:fldChar w:fldCharType="end"/>
          </w:r>
          <w:r>
            <w:rPr>
              <w:sz w:val="24"/>
            </w:rPr>
            <w:fldChar w:fldCharType="end"/>
          </w:r>
        </w:p>
        <w:p>
          <w:pPr>
            <w:pStyle w:val="11"/>
            <w:adjustRightInd w:val="0"/>
            <w:snapToGrid w:val="0"/>
            <w:spacing w:line="440" w:lineRule="exact"/>
            <w:jc w:val="left"/>
            <w:rPr>
              <w:rFonts w:asciiTheme="minorHAnsi" w:hAnsiTheme="minorHAnsi" w:eastAsiaTheme="minorEastAsia" w:cstheme="minorBidi"/>
              <w:szCs w:val="22"/>
            </w:rPr>
          </w:pPr>
          <w:r>
            <w:fldChar w:fldCharType="begin"/>
          </w:r>
          <w:r>
            <w:instrText xml:space="preserve"> HYPERLINK \l "_Toc142059072" </w:instrText>
          </w:r>
          <w:r>
            <w:fldChar w:fldCharType="separate"/>
          </w:r>
          <w:r>
            <w:rPr>
              <w:sz w:val="24"/>
            </w:rPr>
            <w:t>四、财政拨款收入支出决算总体情况说明</w:t>
          </w:r>
          <w:r>
            <w:tab/>
          </w:r>
          <w:r>
            <w:fldChar w:fldCharType="begin"/>
          </w:r>
          <w:r>
            <w:instrText xml:space="preserve"> PAGEREF _Toc142059072 \h </w:instrText>
          </w:r>
          <w:r>
            <w:fldChar w:fldCharType="separate"/>
          </w:r>
          <w:r>
            <w:t>4</w:t>
          </w:r>
          <w:r>
            <w:fldChar w:fldCharType="end"/>
          </w:r>
          <w:r>
            <w:fldChar w:fldCharType="end"/>
          </w:r>
        </w:p>
        <w:p>
          <w:pPr>
            <w:pStyle w:val="11"/>
            <w:adjustRightInd w:val="0"/>
            <w:snapToGrid w:val="0"/>
            <w:spacing w:line="440" w:lineRule="exact"/>
            <w:jc w:val="left"/>
            <w:rPr>
              <w:rFonts w:asciiTheme="minorHAnsi" w:hAnsiTheme="minorHAnsi" w:eastAsiaTheme="minorEastAsia" w:cstheme="minorBidi"/>
              <w:szCs w:val="22"/>
            </w:rPr>
          </w:pPr>
          <w:r>
            <w:fldChar w:fldCharType="begin"/>
          </w:r>
          <w:r>
            <w:instrText xml:space="preserve"> HYPERLINK \l "_Toc142059073" </w:instrText>
          </w:r>
          <w:r>
            <w:fldChar w:fldCharType="separate"/>
          </w:r>
          <w:r>
            <w:rPr>
              <w:sz w:val="24"/>
            </w:rPr>
            <w:t>五、一般公共预算财政拨款支出决算情况说明</w:t>
          </w:r>
          <w:r>
            <w:tab/>
          </w:r>
          <w:r>
            <w:fldChar w:fldCharType="begin"/>
          </w:r>
          <w:r>
            <w:instrText xml:space="preserve"> PAGEREF _Toc142059073 \h </w:instrText>
          </w:r>
          <w:r>
            <w:fldChar w:fldCharType="separate"/>
          </w:r>
          <w:r>
            <w:t>4</w:t>
          </w:r>
          <w:r>
            <w:fldChar w:fldCharType="end"/>
          </w:r>
          <w:r>
            <w:fldChar w:fldCharType="end"/>
          </w:r>
        </w:p>
        <w:p>
          <w:pPr>
            <w:pStyle w:val="11"/>
            <w:adjustRightInd w:val="0"/>
            <w:snapToGrid w:val="0"/>
            <w:spacing w:line="440" w:lineRule="exact"/>
            <w:jc w:val="left"/>
            <w:rPr>
              <w:rFonts w:asciiTheme="minorHAnsi" w:hAnsiTheme="minorHAnsi" w:eastAsiaTheme="minorEastAsia" w:cstheme="minorBidi"/>
              <w:szCs w:val="22"/>
            </w:rPr>
          </w:pPr>
          <w:r>
            <w:fldChar w:fldCharType="begin"/>
          </w:r>
          <w:r>
            <w:instrText xml:space="preserve"> HYPERLINK \l "_Toc142059078" </w:instrText>
          </w:r>
          <w:r>
            <w:fldChar w:fldCharType="separate"/>
          </w:r>
          <w:r>
            <w:rPr>
              <w:sz w:val="24"/>
            </w:rPr>
            <w:t>六、一般公共预算财政拨款基本支出决算情况说明</w:t>
          </w:r>
          <w:r>
            <w:tab/>
          </w:r>
          <w:r>
            <w:fldChar w:fldCharType="begin"/>
          </w:r>
          <w:r>
            <w:instrText xml:space="preserve"> PAGEREF _Toc142059078 \h </w:instrText>
          </w:r>
          <w:r>
            <w:fldChar w:fldCharType="separate"/>
          </w:r>
          <w:r>
            <w:t>7</w:t>
          </w:r>
          <w:r>
            <w:fldChar w:fldCharType="end"/>
          </w:r>
          <w:r>
            <w:fldChar w:fldCharType="end"/>
          </w:r>
        </w:p>
        <w:p>
          <w:pPr>
            <w:pStyle w:val="11"/>
            <w:adjustRightInd w:val="0"/>
            <w:snapToGrid w:val="0"/>
            <w:spacing w:line="440" w:lineRule="exact"/>
            <w:jc w:val="left"/>
            <w:rPr>
              <w:sz w:val="24"/>
            </w:rPr>
          </w:pPr>
          <w:r>
            <w:fldChar w:fldCharType="begin"/>
          </w:r>
          <w:r>
            <w:instrText xml:space="preserve"> HYPERLINK \l "_Toc142059079" </w:instrText>
          </w:r>
          <w:r>
            <w:fldChar w:fldCharType="separate"/>
          </w:r>
          <w:r>
            <w:rPr>
              <w:sz w:val="24"/>
            </w:rPr>
            <w:t>七、财政拨款“三公”经费支出决算情况说明</w:t>
          </w:r>
          <w:r>
            <w:rPr>
              <w:sz w:val="24"/>
            </w:rPr>
            <w:tab/>
          </w:r>
          <w:r>
            <w:fldChar w:fldCharType="begin"/>
          </w:r>
          <w:r>
            <w:instrText xml:space="preserve"> PAGEREF _Toc142059079 \h </w:instrText>
          </w:r>
          <w:r>
            <w:fldChar w:fldCharType="separate"/>
          </w:r>
          <w:r>
            <w:t>7</w:t>
          </w:r>
          <w:r>
            <w:fldChar w:fldCharType="end"/>
          </w:r>
          <w:r>
            <w:fldChar w:fldCharType="end"/>
          </w:r>
        </w:p>
        <w:p>
          <w:pPr>
            <w:pStyle w:val="11"/>
            <w:adjustRightInd w:val="0"/>
            <w:snapToGrid w:val="0"/>
            <w:spacing w:line="440" w:lineRule="exact"/>
            <w:jc w:val="left"/>
            <w:rPr>
              <w:rFonts w:asciiTheme="minorHAnsi" w:hAnsiTheme="minorHAnsi" w:eastAsiaTheme="minorEastAsia" w:cstheme="minorBidi"/>
              <w:szCs w:val="22"/>
            </w:rPr>
          </w:pPr>
          <w:r>
            <w:fldChar w:fldCharType="begin"/>
          </w:r>
          <w:r>
            <w:instrText xml:space="preserve"> HYPERLINK \l "_Toc142059082" </w:instrText>
          </w:r>
          <w:r>
            <w:fldChar w:fldCharType="separate"/>
          </w:r>
          <w:r>
            <w:rPr>
              <w:sz w:val="24"/>
            </w:rPr>
            <w:t>八、政府性基金预算支出决算情况说明</w:t>
          </w:r>
          <w:r>
            <w:tab/>
          </w:r>
          <w:r>
            <w:t>8</w:t>
          </w:r>
          <w:r>
            <w:fldChar w:fldCharType="end"/>
          </w:r>
        </w:p>
        <w:p>
          <w:pPr>
            <w:pStyle w:val="11"/>
            <w:adjustRightInd w:val="0"/>
            <w:snapToGrid w:val="0"/>
            <w:spacing w:line="440" w:lineRule="exact"/>
            <w:jc w:val="left"/>
            <w:rPr>
              <w:rFonts w:asciiTheme="minorHAnsi" w:hAnsiTheme="minorHAnsi" w:eastAsiaTheme="minorEastAsia" w:cstheme="minorBidi"/>
              <w:szCs w:val="22"/>
            </w:rPr>
          </w:pPr>
          <w:r>
            <w:fldChar w:fldCharType="begin"/>
          </w:r>
          <w:r>
            <w:instrText xml:space="preserve"> HYPERLINK \l "_Toc142059083" </w:instrText>
          </w:r>
          <w:r>
            <w:fldChar w:fldCharType="separate"/>
          </w:r>
          <w:r>
            <w:rPr>
              <w:sz w:val="24"/>
            </w:rPr>
            <w:t>九、 国有资本经营预算支出决算情况说明</w:t>
          </w:r>
          <w:r>
            <w:tab/>
          </w:r>
          <w:r>
            <w:t>8</w:t>
          </w:r>
          <w:r>
            <w:fldChar w:fldCharType="end"/>
          </w:r>
        </w:p>
        <w:p>
          <w:pPr>
            <w:pStyle w:val="11"/>
            <w:adjustRightInd w:val="0"/>
            <w:snapToGrid w:val="0"/>
            <w:spacing w:line="440" w:lineRule="exact"/>
            <w:jc w:val="left"/>
            <w:rPr>
              <w:rFonts w:asciiTheme="minorHAnsi" w:hAnsiTheme="minorHAnsi" w:eastAsiaTheme="minorEastAsia" w:cstheme="minorBidi"/>
              <w:szCs w:val="22"/>
            </w:rPr>
          </w:pPr>
          <w:r>
            <w:fldChar w:fldCharType="begin"/>
          </w:r>
          <w:r>
            <w:instrText xml:space="preserve"> HYPERLINK \l "_Toc142059084" </w:instrText>
          </w:r>
          <w:r>
            <w:fldChar w:fldCharType="separate"/>
          </w:r>
          <w:r>
            <w:rPr>
              <w:sz w:val="24"/>
            </w:rPr>
            <w:t>十、 其他重要事项的情况说明</w:t>
          </w:r>
          <w:r>
            <w:tab/>
          </w:r>
          <w:r>
            <w:t>8</w:t>
          </w:r>
          <w:r>
            <w:fldChar w:fldCharType="end"/>
          </w:r>
        </w:p>
        <w:p>
          <w:pPr>
            <w:pStyle w:val="10"/>
            <w:spacing w:before="0"/>
            <w:rPr>
              <w:rFonts w:asciiTheme="minorHAnsi" w:hAnsiTheme="minorHAnsi" w:eastAsiaTheme="minorEastAsia" w:cstheme="minorBidi"/>
              <w:sz w:val="21"/>
              <w:szCs w:val="22"/>
            </w:rPr>
          </w:pPr>
          <w:r>
            <w:fldChar w:fldCharType="begin"/>
          </w:r>
          <w:r>
            <w:instrText xml:space="preserve"> HYPERLINK \l "_Toc142059089" </w:instrText>
          </w:r>
          <w:r>
            <w:fldChar w:fldCharType="separate"/>
          </w:r>
          <w:r>
            <w:rPr>
              <w:sz w:val="24"/>
            </w:rPr>
            <w:t>第三部分 名词解释</w:t>
          </w:r>
          <w:r>
            <w:tab/>
          </w:r>
          <w:r>
            <w:rPr>
              <w:rFonts w:ascii="Times New Roman" w:hAnsi="Times New Roman" w:eastAsia="宋体"/>
              <w:sz w:val="21"/>
              <w:szCs w:val="24"/>
            </w:rPr>
            <w:t>10</w:t>
          </w:r>
          <w:r>
            <w:rPr>
              <w:rFonts w:ascii="Times New Roman" w:hAnsi="Times New Roman" w:eastAsia="宋体"/>
              <w:sz w:val="21"/>
              <w:szCs w:val="24"/>
            </w:rPr>
            <w:fldChar w:fldCharType="end"/>
          </w:r>
        </w:p>
        <w:p>
          <w:pPr>
            <w:pStyle w:val="10"/>
            <w:spacing w:before="0"/>
            <w:rPr>
              <w:rFonts w:asciiTheme="minorHAnsi" w:hAnsiTheme="minorHAnsi" w:eastAsiaTheme="minorEastAsia" w:cstheme="minorBidi"/>
              <w:sz w:val="21"/>
              <w:szCs w:val="22"/>
            </w:rPr>
          </w:pPr>
          <w:r>
            <w:fldChar w:fldCharType="begin"/>
          </w:r>
          <w:r>
            <w:instrText xml:space="preserve"> HYPERLINK \l "_Toc142059090" </w:instrText>
          </w:r>
          <w:r>
            <w:fldChar w:fldCharType="separate"/>
          </w:r>
          <w:r>
            <w:rPr>
              <w:sz w:val="24"/>
            </w:rPr>
            <w:t>第四部分 附件</w:t>
          </w:r>
          <w:r>
            <w:tab/>
          </w:r>
          <w:r>
            <w:rPr>
              <w:rFonts w:ascii="Times New Roman" w:hAnsi="Times New Roman" w:eastAsia="宋体"/>
              <w:sz w:val="21"/>
              <w:szCs w:val="24"/>
            </w:rPr>
            <w:t>12</w:t>
          </w:r>
          <w:r>
            <w:rPr>
              <w:rFonts w:ascii="Times New Roman" w:hAnsi="Times New Roman" w:eastAsia="宋体"/>
              <w:sz w:val="21"/>
              <w:szCs w:val="24"/>
            </w:rPr>
            <w:fldChar w:fldCharType="end"/>
          </w:r>
        </w:p>
        <w:p>
          <w:pPr>
            <w:pStyle w:val="10"/>
            <w:spacing w:before="0"/>
            <w:rPr>
              <w:rFonts w:asciiTheme="minorHAnsi" w:hAnsiTheme="minorHAnsi" w:eastAsiaTheme="minorEastAsia" w:cstheme="minorBidi"/>
              <w:sz w:val="21"/>
              <w:szCs w:val="22"/>
            </w:rPr>
          </w:pPr>
          <w:r>
            <w:fldChar w:fldCharType="begin"/>
          </w:r>
          <w:r>
            <w:instrText xml:space="preserve"> HYPERLINK \l "_Toc142059091" </w:instrText>
          </w:r>
          <w:r>
            <w:fldChar w:fldCharType="separate"/>
          </w:r>
          <w:r>
            <w:rPr>
              <w:sz w:val="24"/>
            </w:rPr>
            <w:t>第五部分 附表</w:t>
          </w:r>
          <w:r>
            <w:tab/>
          </w:r>
          <w:r>
            <w:rPr>
              <w:rFonts w:ascii="Times New Roman" w:hAnsi="Times New Roman" w:eastAsia="宋体"/>
              <w:sz w:val="21"/>
              <w:szCs w:val="24"/>
            </w:rPr>
            <w:t>14</w:t>
          </w:r>
          <w:r>
            <w:rPr>
              <w:rFonts w:ascii="Times New Roman" w:hAnsi="Times New Roman" w:eastAsia="宋体"/>
              <w:sz w:val="21"/>
              <w:szCs w:val="24"/>
            </w:rPr>
            <w:fldChar w:fldCharType="end"/>
          </w:r>
        </w:p>
        <w:p>
          <w:pPr>
            <w:pStyle w:val="11"/>
            <w:rPr>
              <w:rFonts w:asciiTheme="minorHAnsi" w:hAnsiTheme="minorHAnsi" w:eastAsiaTheme="minorEastAsia" w:cstheme="minorBidi"/>
              <w:szCs w:val="22"/>
            </w:rPr>
          </w:pPr>
          <w:r>
            <w:fldChar w:fldCharType="begin"/>
          </w:r>
          <w:r>
            <w:instrText xml:space="preserve"> HYPERLINK \l "_Toc142059092" </w:instrText>
          </w:r>
          <w:r>
            <w:fldChar w:fldCharType="separate"/>
          </w:r>
          <w:r>
            <w:rPr>
              <w:sz w:val="24"/>
            </w:rPr>
            <w:t>一、收入支出决算总表</w:t>
          </w:r>
          <w:r>
            <w:tab/>
          </w:r>
          <w:r>
            <w:t>14</w:t>
          </w:r>
          <w:r>
            <w:fldChar w:fldCharType="end"/>
          </w:r>
        </w:p>
        <w:p>
          <w:pPr>
            <w:pStyle w:val="11"/>
            <w:adjustRightInd w:val="0"/>
            <w:snapToGrid w:val="0"/>
            <w:spacing w:line="440" w:lineRule="exact"/>
            <w:jc w:val="left"/>
            <w:rPr>
              <w:rFonts w:asciiTheme="minorHAnsi" w:hAnsiTheme="minorHAnsi" w:eastAsiaTheme="minorEastAsia" w:cstheme="minorBidi"/>
              <w:szCs w:val="22"/>
            </w:rPr>
          </w:pPr>
          <w:r>
            <w:fldChar w:fldCharType="begin"/>
          </w:r>
          <w:r>
            <w:instrText xml:space="preserve"> HYPERLINK \l "_Toc142059093" </w:instrText>
          </w:r>
          <w:r>
            <w:fldChar w:fldCharType="separate"/>
          </w:r>
          <w:r>
            <w:rPr>
              <w:rStyle w:val="15"/>
              <w:rFonts w:asciiTheme="minorEastAsia" w:hAnsiTheme="minorEastAsia" w:eastAsiaTheme="minorEastAsia"/>
              <w:sz w:val="24"/>
            </w:rPr>
            <w:t>二、收入决算表</w:t>
          </w:r>
          <w:r>
            <w:tab/>
          </w:r>
          <w:r>
            <w:t>14</w:t>
          </w:r>
          <w:r>
            <w:fldChar w:fldCharType="end"/>
          </w:r>
        </w:p>
        <w:p>
          <w:pPr>
            <w:pStyle w:val="11"/>
            <w:adjustRightInd w:val="0"/>
            <w:snapToGrid w:val="0"/>
            <w:spacing w:line="440" w:lineRule="exact"/>
            <w:jc w:val="left"/>
            <w:rPr>
              <w:rFonts w:asciiTheme="minorHAnsi" w:hAnsiTheme="minorHAnsi" w:eastAsiaTheme="minorEastAsia" w:cstheme="minorBidi"/>
              <w:szCs w:val="22"/>
            </w:rPr>
          </w:pPr>
          <w:r>
            <w:fldChar w:fldCharType="begin"/>
          </w:r>
          <w:r>
            <w:instrText xml:space="preserve"> HYPERLINK \l "_Toc142059094" </w:instrText>
          </w:r>
          <w:r>
            <w:fldChar w:fldCharType="separate"/>
          </w:r>
          <w:r>
            <w:rPr>
              <w:rStyle w:val="15"/>
              <w:rFonts w:asciiTheme="minorEastAsia" w:hAnsiTheme="minorEastAsia" w:eastAsiaTheme="minorEastAsia"/>
              <w:sz w:val="24"/>
            </w:rPr>
            <w:t>三、支出决算表</w:t>
          </w:r>
          <w:r>
            <w:tab/>
          </w:r>
          <w:r>
            <w:t>14</w:t>
          </w:r>
          <w:r>
            <w:fldChar w:fldCharType="end"/>
          </w:r>
        </w:p>
        <w:p>
          <w:pPr>
            <w:pStyle w:val="11"/>
            <w:adjustRightInd w:val="0"/>
            <w:snapToGrid w:val="0"/>
            <w:spacing w:line="440" w:lineRule="exact"/>
            <w:jc w:val="left"/>
            <w:rPr>
              <w:rFonts w:asciiTheme="minorHAnsi" w:hAnsiTheme="minorHAnsi" w:eastAsiaTheme="minorEastAsia" w:cstheme="minorBidi"/>
              <w:szCs w:val="22"/>
            </w:rPr>
          </w:pPr>
          <w:r>
            <w:fldChar w:fldCharType="begin"/>
          </w:r>
          <w:r>
            <w:instrText xml:space="preserve"> HYPERLINK \l "_Toc142059095" </w:instrText>
          </w:r>
          <w:r>
            <w:fldChar w:fldCharType="separate"/>
          </w:r>
          <w:r>
            <w:rPr>
              <w:rStyle w:val="15"/>
              <w:rFonts w:asciiTheme="majorEastAsia" w:hAnsiTheme="majorEastAsia" w:eastAsiaTheme="majorEastAsia"/>
              <w:sz w:val="24"/>
            </w:rPr>
            <w:t>四、财政拨款收入支出决算总表</w:t>
          </w:r>
          <w:r>
            <w:tab/>
          </w:r>
          <w:r>
            <w:t>14</w:t>
          </w:r>
          <w:r>
            <w:fldChar w:fldCharType="end"/>
          </w:r>
        </w:p>
        <w:p>
          <w:pPr>
            <w:pStyle w:val="11"/>
            <w:adjustRightInd w:val="0"/>
            <w:snapToGrid w:val="0"/>
            <w:spacing w:line="440" w:lineRule="exact"/>
            <w:jc w:val="left"/>
            <w:rPr>
              <w:rFonts w:asciiTheme="minorHAnsi" w:hAnsiTheme="minorHAnsi" w:eastAsiaTheme="minorEastAsia" w:cstheme="minorBidi"/>
              <w:szCs w:val="22"/>
            </w:rPr>
          </w:pPr>
          <w:r>
            <w:fldChar w:fldCharType="begin"/>
          </w:r>
          <w:r>
            <w:instrText xml:space="preserve"> HYPERLINK \l "_Toc142059096" </w:instrText>
          </w:r>
          <w:r>
            <w:fldChar w:fldCharType="separate"/>
          </w:r>
          <w:r>
            <w:rPr>
              <w:rStyle w:val="15"/>
              <w:rFonts w:asciiTheme="majorEastAsia" w:hAnsiTheme="majorEastAsia" w:eastAsiaTheme="majorEastAsia"/>
              <w:sz w:val="24"/>
            </w:rPr>
            <w:t>五、财政拨款支出决算明细表</w:t>
          </w:r>
          <w:r>
            <w:tab/>
          </w:r>
          <w:r>
            <w:t>14</w:t>
          </w:r>
          <w:r>
            <w:fldChar w:fldCharType="end"/>
          </w:r>
        </w:p>
        <w:p>
          <w:pPr>
            <w:pStyle w:val="11"/>
            <w:adjustRightInd w:val="0"/>
            <w:snapToGrid w:val="0"/>
            <w:spacing w:line="440" w:lineRule="exact"/>
            <w:jc w:val="left"/>
            <w:rPr>
              <w:rFonts w:asciiTheme="minorHAnsi" w:hAnsiTheme="minorHAnsi" w:eastAsiaTheme="minorEastAsia" w:cstheme="minorBidi"/>
              <w:szCs w:val="22"/>
            </w:rPr>
          </w:pPr>
          <w:r>
            <w:fldChar w:fldCharType="begin"/>
          </w:r>
          <w:r>
            <w:instrText xml:space="preserve"> HYPERLINK \l "_Toc142059097" </w:instrText>
          </w:r>
          <w:r>
            <w:fldChar w:fldCharType="separate"/>
          </w:r>
          <w:r>
            <w:rPr>
              <w:rStyle w:val="15"/>
              <w:rFonts w:asciiTheme="majorEastAsia" w:hAnsiTheme="majorEastAsia" w:eastAsiaTheme="majorEastAsia"/>
              <w:sz w:val="24"/>
            </w:rPr>
            <w:t>六、一般公共预算财政拨款支出决算表</w:t>
          </w:r>
          <w:r>
            <w:tab/>
          </w:r>
          <w:r>
            <w:t>14</w:t>
          </w:r>
          <w:r>
            <w:fldChar w:fldCharType="end"/>
          </w:r>
        </w:p>
        <w:p>
          <w:pPr>
            <w:pStyle w:val="11"/>
            <w:adjustRightInd w:val="0"/>
            <w:snapToGrid w:val="0"/>
            <w:spacing w:line="440" w:lineRule="exact"/>
            <w:jc w:val="left"/>
            <w:rPr>
              <w:rFonts w:asciiTheme="minorHAnsi" w:hAnsiTheme="minorHAnsi" w:eastAsiaTheme="minorEastAsia" w:cstheme="minorBidi"/>
              <w:szCs w:val="22"/>
            </w:rPr>
          </w:pPr>
          <w:r>
            <w:fldChar w:fldCharType="begin"/>
          </w:r>
          <w:r>
            <w:instrText xml:space="preserve"> HYPERLINK \l "_Toc142059098" </w:instrText>
          </w:r>
          <w:r>
            <w:fldChar w:fldCharType="separate"/>
          </w:r>
          <w:r>
            <w:rPr>
              <w:rStyle w:val="15"/>
              <w:rFonts w:asciiTheme="majorEastAsia" w:hAnsiTheme="majorEastAsia" w:eastAsiaTheme="majorEastAsia"/>
              <w:sz w:val="24"/>
            </w:rPr>
            <w:t>七、一般公共预算财政拨款支出决算明细表</w:t>
          </w:r>
          <w:r>
            <w:tab/>
          </w:r>
          <w:r>
            <w:t>14</w:t>
          </w:r>
          <w:r>
            <w:fldChar w:fldCharType="end"/>
          </w:r>
        </w:p>
        <w:p>
          <w:pPr>
            <w:pStyle w:val="11"/>
            <w:adjustRightInd w:val="0"/>
            <w:snapToGrid w:val="0"/>
            <w:spacing w:line="440" w:lineRule="exact"/>
            <w:jc w:val="left"/>
            <w:rPr>
              <w:rFonts w:asciiTheme="minorHAnsi" w:hAnsiTheme="minorHAnsi" w:eastAsiaTheme="minorEastAsia" w:cstheme="minorBidi"/>
              <w:szCs w:val="22"/>
            </w:rPr>
          </w:pPr>
          <w:r>
            <w:fldChar w:fldCharType="begin"/>
          </w:r>
          <w:r>
            <w:instrText xml:space="preserve"> HYPERLINK \l "_Toc142059099" </w:instrText>
          </w:r>
          <w:r>
            <w:fldChar w:fldCharType="separate"/>
          </w:r>
          <w:r>
            <w:rPr>
              <w:rStyle w:val="15"/>
              <w:rFonts w:asciiTheme="majorEastAsia" w:hAnsiTheme="majorEastAsia" w:eastAsiaTheme="majorEastAsia"/>
              <w:sz w:val="24"/>
            </w:rPr>
            <w:t>八、一般公共预算财政拨款基本支出决算表</w:t>
          </w:r>
          <w:r>
            <w:tab/>
          </w:r>
          <w:r>
            <w:t>14</w:t>
          </w:r>
          <w:r>
            <w:fldChar w:fldCharType="end"/>
          </w:r>
        </w:p>
        <w:p>
          <w:pPr>
            <w:pStyle w:val="11"/>
            <w:adjustRightInd w:val="0"/>
            <w:snapToGrid w:val="0"/>
            <w:spacing w:line="440" w:lineRule="exact"/>
            <w:jc w:val="left"/>
            <w:rPr>
              <w:rFonts w:asciiTheme="minorHAnsi" w:hAnsiTheme="minorHAnsi" w:eastAsiaTheme="minorEastAsia" w:cstheme="minorBidi"/>
              <w:szCs w:val="22"/>
            </w:rPr>
          </w:pPr>
          <w:r>
            <w:fldChar w:fldCharType="begin"/>
          </w:r>
          <w:r>
            <w:instrText xml:space="preserve"> HYPERLINK \l "_Toc142059100" </w:instrText>
          </w:r>
          <w:r>
            <w:fldChar w:fldCharType="separate"/>
          </w:r>
          <w:r>
            <w:rPr>
              <w:rStyle w:val="15"/>
              <w:rFonts w:asciiTheme="minorEastAsia" w:hAnsiTheme="minorEastAsia" w:eastAsiaTheme="minorEastAsia"/>
              <w:sz w:val="24"/>
            </w:rPr>
            <w:t>九、一般公共预算财政拨款项目支出决算表</w:t>
          </w:r>
          <w:r>
            <w:tab/>
          </w:r>
          <w:r>
            <w:t>14</w:t>
          </w:r>
          <w:r>
            <w:fldChar w:fldCharType="end"/>
          </w:r>
        </w:p>
        <w:p>
          <w:pPr>
            <w:pStyle w:val="11"/>
            <w:adjustRightInd w:val="0"/>
            <w:snapToGrid w:val="0"/>
            <w:spacing w:line="440" w:lineRule="exact"/>
            <w:jc w:val="left"/>
            <w:rPr>
              <w:rFonts w:asciiTheme="minorHAnsi" w:hAnsiTheme="minorHAnsi" w:eastAsiaTheme="minorEastAsia" w:cstheme="minorBidi"/>
              <w:szCs w:val="22"/>
            </w:rPr>
          </w:pPr>
          <w:r>
            <w:fldChar w:fldCharType="begin"/>
          </w:r>
          <w:r>
            <w:instrText xml:space="preserve"> HYPERLINK \l "_Toc142059101" </w:instrText>
          </w:r>
          <w:r>
            <w:fldChar w:fldCharType="separate"/>
          </w:r>
          <w:r>
            <w:rPr>
              <w:rStyle w:val="15"/>
              <w:rFonts w:asciiTheme="majorEastAsia" w:hAnsiTheme="majorEastAsia" w:eastAsiaTheme="majorEastAsia"/>
              <w:sz w:val="24"/>
            </w:rPr>
            <w:t>十、政府性基金预算财政拨款收入支出决算表</w:t>
          </w:r>
          <w:r>
            <w:tab/>
          </w:r>
          <w:r>
            <w:t>14</w:t>
          </w:r>
          <w:r>
            <w:fldChar w:fldCharType="end"/>
          </w:r>
        </w:p>
        <w:p>
          <w:pPr>
            <w:pStyle w:val="11"/>
            <w:adjustRightInd w:val="0"/>
            <w:snapToGrid w:val="0"/>
            <w:spacing w:line="440" w:lineRule="exact"/>
            <w:jc w:val="left"/>
            <w:rPr>
              <w:rFonts w:asciiTheme="minorHAnsi" w:hAnsiTheme="minorHAnsi" w:eastAsiaTheme="minorEastAsia" w:cstheme="minorBidi"/>
              <w:szCs w:val="22"/>
            </w:rPr>
          </w:pPr>
          <w:r>
            <w:fldChar w:fldCharType="begin"/>
          </w:r>
          <w:r>
            <w:instrText xml:space="preserve"> HYPERLINK \l "_Toc142059102" </w:instrText>
          </w:r>
          <w:r>
            <w:fldChar w:fldCharType="separate"/>
          </w:r>
          <w:r>
            <w:rPr>
              <w:rStyle w:val="15"/>
              <w:rFonts w:asciiTheme="majorEastAsia" w:hAnsiTheme="majorEastAsia" w:eastAsiaTheme="majorEastAsia"/>
              <w:sz w:val="24"/>
            </w:rPr>
            <w:t>十一、国有资本经营预算财政拨款收入支出决算表</w:t>
          </w:r>
          <w:r>
            <w:tab/>
          </w:r>
          <w:r>
            <w:t>14</w:t>
          </w:r>
          <w:r>
            <w:fldChar w:fldCharType="end"/>
          </w:r>
        </w:p>
        <w:p>
          <w:pPr>
            <w:pStyle w:val="11"/>
            <w:adjustRightInd w:val="0"/>
            <w:snapToGrid w:val="0"/>
            <w:spacing w:line="440" w:lineRule="exact"/>
            <w:jc w:val="left"/>
            <w:rPr>
              <w:rFonts w:asciiTheme="minorHAnsi" w:hAnsiTheme="minorHAnsi" w:eastAsiaTheme="minorEastAsia" w:cstheme="minorBidi"/>
              <w:szCs w:val="22"/>
            </w:rPr>
          </w:pPr>
          <w:r>
            <w:fldChar w:fldCharType="begin"/>
          </w:r>
          <w:r>
            <w:instrText xml:space="preserve"> HYPERLINK \l "_Toc142059103" </w:instrText>
          </w:r>
          <w:r>
            <w:fldChar w:fldCharType="separate"/>
          </w:r>
          <w:r>
            <w:rPr>
              <w:rStyle w:val="15"/>
              <w:rFonts w:asciiTheme="majorEastAsia" w:hAnsiTheme="majorEastAsia" w:eastAsiaTheme="majorEastAsia"/>
              <w:sz w:val="24"/>
            </w:rPr>
            <w:t>十二、国有资本经营预算财政拨款支出决算表</w:t>
          </w:r>
          <w:r>
            <w:tab/>
          </w:r>
          <w:r>
            <w:t>14</w:t>
          </w:r>
          <w:r>
            <w:fldChar w:fldCharType="end"/>
          </w:r>
        </w:p>
        <w:p>
          <w:pPr>
            <w:pStyle w:val="11"/>
            <w:adjustRightInd w:val="0"/>
            <w:snapToGrid w:val="0"/>
            <w:spacing w:line="440" w:lineRule="exact"/>
            <w:jc w:val="left"/>
            <w:rPr>
              <w:rFonts w:asciiTheme="minorHAnsi" w:hAnsiTheme="minorHAnsi" w:eastAsiaTheme="minorEastAsia" w:cstheme="minorBidi"/>
              <w:szCs w:val="22"/>
            </w:rPr>
          </w:pPr>
          <w:r>
            <w:fldChar w:fldCharType="begin"/>
          </w:r>
          <w:r>
            <w:instrText xml:space="preserve"> HYPERLINK \l "_Toc142059104" </w:instrText>
          </w:r>
          <w:r>
            <w:fldChar w:fldCharType="separate"/>
          </w:r>
          <w:r>
            <w:rPr>
              <w:rStyle w:val="15"/>
              <w:rFonts w:asciiTheme="majorEastAsia" w:hAnsiTheme="majorEastAsia" w:eastAsiaTheme="majorEastAsia"/>
              <w:sz w:val="24"/>
            </w:rPr>
            <w:t>十三、财政拨款“三公”经费支出决算表</w:t>
          </w:r>
          <w:r>
            <w:tab/>
          </w:r>
          <w:r>
            <w:t>14</w:t>
          </w:r>
          <w:r>
            <w:fldChar w:fldCharType="end"/>
          </w:r>
        </w:p>
        <w:p>
          <w:r>
            <w:rPr>
              <w:b/>
              <w:bCs/>
              <w:lang w:val="zh-CN"/>
            </w:rPr>
            <w:fldChar w:fldCharType="end"/>
          </w:r>
        </w:p>
      </w:sdtContent>
    </w:sdt>
    <w:p>
      <w:pPr>
        <w:pStyle w:val="3"/>
        <w:jc w:val="center"/>
        <w:rPr>
          <w:rFonts w:ascii="黑体" w:hAnsi="黑体" w:eastAsia="黑体"/>
          <w:b w:val="0"/>
        </w:rPr>
        <w:sectPr>
          <w:footerReference r:id="rId5" w:type="first"/>
          <w:footerReference r:id="rId4" w:type="default"/>
          <w:pgSz w:w="11906" w:h="16838"/>
          <w:pgMar w:top="1440" w:right="1800" w:bottom="1440" w:left="1800" w:header="851" w:footer="992" w:gutter="0"/>
          <w:pgNumType w:start="4"/>
          <w:cols w:space="425" w:num="1"/>
          <w:titlePg/>
          <w:docGrid w:type="lines" w:linePitch="312" w:charSpace="0"/>
        </w:sectPr>
      </w:pPr>
      <w:bookmarkStart w:id="16" w:name="_Toc15396599"/>
      <w:bookmarkStart w:id="17" w:name="_Toc15377196"/>
    </w:p>
    <w:p>
      <w:pPr>
        <w:pStyle w:val="3"/>
        <w:jc w:val="center"/>
        <w:rPr>
          <w:rStyle w:val="24"/>
          <w:rFonts w:ascii="黑体" w:hAnsi="黑体" w:eastAsia="黑体"/>
          <w:b/>
          <w:bCs w:val="0"/>
        </w:rPr>
      </w:pPr>
      <w:bookmarkStart w:id="18" w:name="_Toc142059063"/>
      <w:r>
        <w:rPr>
          <w:rFonts w:hint="eastAsia" w:ascii="黑体" w:hAnsi="黑体" w:eastAsia="黑体"/>
          <w:b w:val="0"/>
        </w:rPr>
        <w:t>第一部分 单位</w:t>
      </w:r>
      <w:r>
        <w:rPr>
          <w:rStyle w:val="24"/>
          <w:rFonts w:hint="eastAsia" w:ascii="黑体" w:hAnsi="黑体" w:eastAsia="黑体"/>
          <w:b w:val="0"/>
          <w:bCs w:val="0"/>
        </w:rPr>
        <w:t>概况</w:t>
      </w:r>
      <w:bookmarkEnd w:id="16"/>
      <w:bookmarkEnd w:id="17"/>
      <w:bookmarkEnd w:id="18"/>
    </w:p>
    <w:p>
      <w:pPr>
        <w:widowControl/>
        <w:jc w:val="left"/>
        <w:rPr>
          <w:rFonts w:ascii="黑体" w:eastAsia="黑体"/>
          <w:sz w:val="32"/>
          <w:szCs w:val="32"/>
        </w:rPr>
      </w:pPr>
    </w:p>
    <w:p>
      <w:pPr>
        <w:pStyle w:val="4"/>
        <w:numPr>
          <w:ilvl w:val="0"/>
          <w:numId w:val="1"/>
        </w:numPr>
        <w:rPr>
          <w:rStyle w:val="25"/>
          <w:rFonts w:ascii="黑体" w:hAnsi="黑体" w:eastAsia="黑体"/>
          <w:b w:val="0"/>
          <w:bCs w:val="0"/>
        </w:rPr>
      </w:pPr>
      <w:bookmarkStart w:id="19" w:name="_Toc142059064"/>
      <w:bookmarkStart w:id="20" w:name="_Toc15396600"/>
      <w:bookmarkStart w:id="21" w:name="_Toc15377197"/>
      <w:r>
        <w:rPr>
          <w:rStyle w:val="25"/>
          <w:rFonts w:hint="eastAsia" w:ascii="黑体" w:hAnsi="黑体" w:eastAsia="黑体"/>
          <w:b w:val="0"/>
          <w:bCs w:val="0"/>
        </w:rPr>
        <w:t>主要职责</w:t>
      </w:r>
      <w:bookmarkEnd w:id="19"/>
    </w:p>
    <w:p>
      <w:pPr>
        <w:ind w:firstLine="640" w:firstLineChars="200"/>
        <w:rPr>
          <w:rFonts w:hint="eastAsia" w:ascii="仿宋" w:hAnsi="仿宋" w:eastAsia="仿宋"/>
          <w:sz w:val="32"/>
          <w:szCs w:val="32"/>
        </w:rPr>
      </w:pPr>
      <w:r>
        <w:rPr>
          <w:rFonts w:hint="eastAsia" w:ascii="仿宋" w:hAnsi="仿宋" w:eastAsia="仿宋"/>
          <w:sz w:val="32"/>
          <w:szCs w:val="32"/>
          <w:lang w:eastAsia="zh-CN"/>
        </w:rPr>
        <w:t>主要职责：</w:t>
      </w:r>
      <w:r>
        <w:rPr>
          <w:rFonts w:hint="eastAsia" w:ascii="仿宋" w:hAnsi="仿宋" w:eastAsia="仿宋"/>
          <w:sz w:val="32"/>
          <w:szCs w:val="32"/>
        </w:rPr>
        <w:t>本单位在四川省地质局的引领下，承担基础性公益性、战略性地质调查任务，</w:t>
      </w:r>
      <w:r>
        <w:rPr>
          <w:rFonts w:hint="eastAsia" w:ascii="仿宋" w:hAnsi="仿宋" w:eastAsia="仿宋"/>
          <w:sz w:val="32"/>
          <w:szCs w:val="32"/>
          <w:lang w:eastAsia="zh-CN"/>
        </w:rPr>
        <w:t>负担为国家建设提供</w:t>
      </w:r>
      <w:r>
        <w:rPr>
          <w:rFonts w:hint="eastAsia" w:ascii="仿宋" w:hAnsi="仿宋" w:eastAsia="仿宋"/>
          <w:sz w:val="32"/>
          <w:szCs w:val="32"/>
        </w:rPr>
        <w:t>水文地质、工程地质、环境地质、灾害地质、城市地质、旅游地质、农业地质、生态地质、遥感地质、地理信息、生态修复、国土空间规划、自然资源调查监测评价、自然资源及环境样品检验检测等地质技术支撑与服务，并依托专业技术优势积极参与地质类综合科学技术等研究。</w:t>
      </w:r>
    </w:p>
    <w:p>
      <w:pPr>
        <w:ind w:firstLine="640" w:firstLineChars="200"/>
        <w:rPr>
          <w:rFonts w:ascii="仿宋" w:hAnsi="仿宋" w:eastAsia="仿宋"/>
          <w:sz w:val="32"/>
          <w:szCs w:val="32"/>
        </w:rPr>
      </w:pPr>
    </w:p>
    <w:p>
      <w:pPr>
        <w:pStyle w:val="4"/>
        <w:rPr>
          <w:rFonts w:ascii="黑体" w:hAnsi="黑体" w:eastAsia="黑体"/>
          <w:b w:val="0"/>
        </w:rPr>
      </w:pPr>
      <w:bookmarkStart w:id="22" w:name="_Toc142059065"/>
      <w:r>
        <w:rPr>
          <w:rFonts w:hint="eastAsia" w:ascii="黑体" w:hAnsi="黑体" w:eastAsia="黑体"/>
          <w:b w:val="0"/>
        </w:rPr>
        <w:t>二、机构设置</w:t>
      </w:r>
      <w:bookmarkEnd w:id="22"/>
    </w:p>
    <w:p>
      <w:pPr>
        <w:ind w:firstLine="640" w:firstLineChars="200"/>
        <w:rPr>
          <w:rFonts w:ascii="仿宋" w:hAnsi="仿宋" w:eastAsia="仿宋"/>
          <w:sz w:val="32"/>
          <w:szCs w:val="32"/>
        </w:rPr>
      </w:pPr>
      <w:r>
        <w:rPr>
          <w:rFonts w:hint="eastAsia" w:ascii="仿宋" w:hAnsi="仿宋" w:eastAsia="仿宋"/>
          <w:sz w:val="32"/>
          <w:szCs w:val="32"/>
        </w:rPr>
        <w:t>本单位由9个职能部门构成，分别是：综合管理部、党群工作部、纪检监察室、财务部、质量安全环境部、市场管理部、审计部、事业发展部、科技创新部。</w:t>
      </w:r>
    </w:p>
    <w:bookmarkEnd w:id="20"/>
    <w:bookmarkEnd w:id="21"/>
    <w:p>
      <w:pPr>
        <w:widowControl/>
        <w:jc w:val="left"/>
        <w:rPr>
          <w:rFonts w:ascii="仿宋" w:hAnsi="仿宋" w:eastAsia="仿宋"/>
          <w:kern w:val="0"/>
          <w:sz w:val="32"/>
          <w:szCs w:val="32"/>
        </w:rPr>
      </w:pPr>
      <w:r>
        <w:rPr>
          <w:rFonts w:ascii="仿宋" w:hAnsi="仿宋" w:eastAsia="仿宋"/>
          <w:sz w:val="32"/>
          <w:szCs w:val="32"/>
        </w:rPr>
        <w:br w:type="page"/>
      </w:r>
    </w:p>
    <w:p>
      <w:pPr>
        <w:pStyle w:val="3"/>
        <w:ind w:right="440"/>
        <w:jc w:val="center"/>
        <w:rPr>
          <w:rStyle w:val="24"/>
          <w:rFonts w:ascii="黑体" w:hAnsi="黑体" w:eastAsia="黑体"/>
          <w:b w:val="0"/>
          <w:bCs/>
        </w:rPr>
      </w:pPr>
      <w:bookmarkStart w:id="23" w:name="_Toc15396602"/>
      <w:bookmarkStart w:id="24" w:name="_Toc142059066"/>
      <w:bookmarkStart w:id="25" w:name="_Toc15377204"/>
      <w:r>
        <w:rPr>
          <w:rFonts w:hint="eastAsia" w:ascii="黑体" w:hAnsi="黑体" w:eastAsia="黑体"/>
          <w:b w:val="0"/>
        </w:rPr>
        <w:t>第二部分 2022年度</w:t>
      </w:r>
      <w:r>
        <w:rPr>
          <w:rStyle w:val="24"/>
          <w:rFonts w:hint="eastAsia" w:ascii="黑体" w:hAnsi="黑体" w:eastAsia="黑体"/>
          <w:b w:val="0"/>
          <w:bCs/>
        </w:rPr>
        <w:t>单位决算情况说明</w:t>
      </w:r>
      <w:bookmarkEnd w:id="23"/>
      <w:bookmarkEnd w:id="24"/>
      <w:bookmarkEnd w:id="25"/>
    </w:p>
    <w:p/>
    <w:p>
      <w:pPr>
        <w:pStyle w:val="23"/>
        <w:numPr>
          <w:ilvl w:val="0"/>
          <w:numId w:val="2"/>
        </w:numPr>
        <w:spacing w:line="600" w:lineRule="exact"/>
        <w:ind w:firstLineChars="0"/>
        <w:outlineLvl w:val="1"/>
        <w:rPr>
          <w:rStyle w:val="25"/>
          <w:rFonts w:ascii="黑体" w:hAnsi="黑体" w:eastAsia="黑体"/>
          <w:b w:val="0"/>
        </w:rPr>
      </w:pPr>
      <w:bookmarkStart w:id="26" w:name="_Toc15377205"/>
      <w:bookmarkStart w:id="27" w:name="_Toc142059067"/>
      <w:bookmarkStart w:id="28" w:name="_Toc15396603"/>
      <w:r>
        <w:rPr>
          <w:rFonts w:hint="eastAsia" w:ascii="黑体" w:hAnsi="黑体" w:eastAsia="黑体"/>
          <w:sz w:val="32"/>
          <w:szCs w:val="32"/>
        </w:rPr>
        <w:t>收</w:t>
      </w:r>
      <w:r>
        <w:rPr>
          <w:rStyle w:val="25"/>
          <w:rFonts w:hint="eastAsia" w:ascii="黑体" w:hAnsi="黑体" w:eastAsia="黑体"/>
          <w:b w:val="0"/>
        </w:rPr>
        <w:t>入支出决算总体情况说明</w:t>
      </w:r>
      <w:bookmarkEnd w:id="26"/>
      <w:bookmarkEnd w:id="27"/>
      <w:bookmarkEnd w:id="28"/>
    </w:p>
    <w:p>
      <w:pPr>
        <w:spacing w:line="600" w:lineRule="exact"/>
        <w:ind w:firstLine="640" w:firstLineChars="200"/>
        <w:rPr>
          <w:rFonts w:ascii="仿宋" w:hAnsi="仿宋" w:eastAsia="仿宋"/>
          <w:sz w:val="32"/>
          <w:szCs w:val="32"/>
        </w:rPr>
      </w:pPr>
      <w:r>
        <w:rPr>
          <w:rFonts w:hint="eastAsia" w:ascii="仿宋" w:hAnsi="仿宋" w:eastAsia="仿宋"/>
          <w:sz w:val="32"/>
          <w:szCs w:val="32"/>
        </w:rPr>
        <w:t>2022年度收、支总计</w:t>
      </w:r>
      <w:r>
        <w:rPr>
          <w:rFonts w:ascii="仿宋" w:hAnsi="仿宋" w:eastAsia="仿宋"/>
          <w:sz w:val="32"/>
          <w:szCs w:val="32"/>
        </w:rPr>
        <w:t>6618.16</w:t>
      </w:r>
      <w:r>
        <w:rPr>
          <w:rFonts w:hint="eastAsia" w:ascii="仿宋" w:hAnsi="仿宋" w:eastAsia="仿宋"/>
          <w:sz w:val="32"/>
          <w:szCs w:val="32"/>
        </w:rPr>
        <w:t>万元。与2021年的</w:t>
      </w:r>
      <w:r>
        <w:rPr>
          <w:rFonts w:ascii="仿宋" w:hAnsi="仿宋" w:eastAsia="仿宋"/>
          <w:sz w:val="32"/>
          <w:szCs w:val="32"/>
        </w:rPr>
        <w:t>8549.23</w:t>
      </w:r>
      <w:r>
        <w:rPr>
          <w:rFonts w:hint="eastAsia" w:ascii="仿宋" w:hAnsi="仿宋" w:eastAsia="仿宋"/>
          <w:sz w:val="32"/>
          <w:szCs w:val="32"/>
        </w:rPr>
        <w:t>相比，收、支总计各减少</w:t>
      </w:r>
      <w:r>
        <w:rPr>
          <w:rFonts w:ascii="仿宋" w:hAnsi="仿宋" w:eastAsia="仿宋"/>
          <w:sz w:val="32"/>
          <w:szCs w:val="32"/>
        </w:rPr>
        <w:t>1931.07</w:t>
      </w:r>
      <w:r>
        <w:rPr>
          <w:rFonts w:hint="eastAsia" w:ascii="仿宋" w:hAnsi="仿宋" w:eastAsia="仿宋"/>
          <w:sz w:val="32"/>
          <w:szCs w:val="32"/>
        </w:rPr>
        <w:t>万元，下降</w:t>
      </w:r>
      <w:r>
        <w:rPr>
          <w:rFonts w:ascii="仿宋" w:hAnsi="仿宋" w:eastAsia="仿宋"/>
          <w:sz w:val="32"/>
          <w:szCs w:val="32"/>
        </w:rPr>
        <w:t>22.59%</w:t>
      </w:r>
      <w:r>
        <w:rPr>
          <w:rFonts w:hint="eastAsia" w:ascii="仿宋" w:hAnsi="仿宋" w:eastAsia="仿宋"/>
          <w:sz w:val="32"/>
          <w:szCs w:val="32"/>
        </w:rPr>
        <w:t>。</w:t>
      </w:r>
      <w:r>
        <w:rPr>
          <w:rFonts w:ascii="仿宋" w:hAnsi="仿宋" w:eastAsia="仿宋"/>
          <w:sz w:val="32"/>
          <w:szCs w:val="32"/>
        </w:rPr>
        <w:t>主要变动原因是2021年有财政拨款地勘能力提升项目1000万元，2022年无此项财政拨款，2022年使用非财政拨款结余较2021下降700余万元，以上原因造成收支总计减少幅度较大。</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：收、支决算总计变动情况图如下</w:t>
      </w:r>
    </w:p>
    <w:p>
      <w:pPr>
        <w:pStyle w:val="2"/>
        <w:spacing w:before="93"/>
      </w:pPr>
      <w:r>
        <w:drawing>
          <wp:inline distT="0" distB="0" distL="0" distR="0">
            <wp:extent cx="5191125" cy="2733675"/>
            <wp:effectExtent l="0" t="0" r="9525" b="952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2"/>
        <w:spacing w:before="93"/>
      </w:pPr>
    </w:p>
    <w:p>
      <w:pPr>
        <w:pStyle w:val="23"/>
        <w:numPr>
          <w:ilvl w:val="0"/>
          <w:numId w:val="2"/>
        </w:numPr>
        <w:spacing w:line="600" w:lineRule="exact"/>
        <w:ind w:firstLineChars="0"/>
        <w:outlineLvl w:val="1"/>
        <w:rPr>
          <w:rStyle w:val="25"/>
          <w:rFonts w:ascii="黑体" w:hAnsi="黑体" w:eastAsia="黑体"/>
          <w:b w:val="0"/>
        </w:rPr>
      </w:pPr>
      <w:bookmarkStart w:id="29" w:name="_Toc15377206"/>
      <w:bookmarkStart w:id="30" w:name="_Toc15396604"/>
      <w:bookmarkStart w:id="31" w:name="_Toc142059068"/>
      <w:r>
        <w:rPr>
          <w:rFonts w:hint="eastAsia" w:ascii="黑体" w:hAnsi="黑体" w:eastAsia="黑体"/>
          <w:sz w:val="32"/>
          <w:szCs w:val="32"/>
        </w:rPr>
        <w:t>收</w:t>
      </w:r>
      <w:r>
        <w:rPr>
          <w:rStyle w:val="25"/>
          <w:rFonts w:hint="eastAsia" w:ascii="黑体" w:hAnsi="黑体" w:eastAsia="黑体"/>
          <w:b w:val="0"/>
        </w:rPr>
        <w:t>入决算情况说明</w:t>
      </w:r>
      <w:bookmarkEnd w:id="29"/>
      <w:bookmarkEnd w:id="30"/>
      <w:bookmarkEnd w:id="31"/>
    </w:p>
    <w:p>
      <w:pPr>
        <w:spacing w:line="600" w:lineRule="exact"/>
        <w:ind w:firstLine="640" w:firstLineChars="200"/>
        <w:outlineLvl w:val="1"/>
        <w:rPr>
          <w:rFonts w:ascii="仿宋" w:hAnsi="仿宋" w:eastAsia="仿宋"/>
          <w:sz w:val="32"/>
          <w:szCs w:val="32"/>
        </w:rPr>
      </w:pPr>
      <w:bookmarkStart w:id="32" w:name="_Toc142059069"/>
      <w:r>
        <w:rPr>
          <w:rFonts w:ascii="仿宋" w:hAnsi="仿宋" w:eastAsia="仿宋"/>
          <w:sz w:val="32"/>
          <w:szCs w:val="32"/>
        </w:rPr>
        <w:t>20</w:t>
      </w:r>
      <w:r>
        <w:rPr>
          <w:rFonts w:hint="eastAsia" w:ascii="仿宋" w:hAnsi="仿宋" w:eastAsia="仿宋"/>
          <w:sz w:val="32"/>
          <w:szCs w:val="32"/>
        </w:rPr>
        <w:t>22年本年收入合计</w:t>
      </w:r>
      <w:r>
        <w:rPr>
          <w:rFonts w:ascii="仿宋" w:hAnsi="仿宋" w:eastAsia="仿宋"/>
          <w:sz w:val="32"/>
          <w:szCs w:val="32"/>
        </w:rPr>
        <w:t>6614.69</w:t>
      </w:r>
      <w:r>
        <w:rPr>
          <w:rFonts w:hint="eastAsia" w:ascii="仿宋" w:hAnsi="仿宋" w:eastAsia="仿宋"/>
          <w:sz w:val="32"/>
          <w:szCs w:val="32"/>
        </w:rPr>
        <w:t>万元，其中：一般公共预算财政拨款收入</w:t>
      </w:r>
      <w:r>
        <w:rPr>
          <w:rFonts w:ascii="仿宋" w:hAnsi="仿宋" w:eastAsia="仿宋"/>
          <w:sz w:val="32"/>
          <w:szCs w:val="32"/>
        </w:rPr>
        <w:t>6296.89</w:t>
      </w:r>
      <w:r>
        <w:rPr>
          <w:rFonts w:hint="eastAsia" w:ascii="仿宋" w:hAnsi="仿宋" w:eastAsia="仿宋"/>
          <w:sz w:val="32"/>
          <w:szCs w:val="32"/>
        </w:rPr>
        <w:t>万元，占</w:t>
      </w:r>
      <w:r>
        <w:rPr>
          <w:rFonts w:ascii="仿宋" w:hAnsi="仿宋" w:eastAsia="仿宋"/>
          <w:sz w:val="32"/>
          <w:szCs w:val="32"/>
        </w:rPr>
        <w:t>95.20%</w:t>
      </w:r>
      <w:r>
        <w:rPr>
          <w:rFonts w:hint="eastAsia" w:ascii="仿宋" w:hAnsi="仿宋" w:eastAsia="仿宋"/>
          <w:sz w:val="32"/>
          <w:szCs w:val="32"/>
        </w:rPr>
        <w:t>；经营收入</w:t>
      </w:r>
      <w:r>
        <w:rPr>
          <w:rFonts w:ascii="仿宋" w:hAnsi="仿宋" w:eastAsia="仿宋"/>
          <w:sz w:val="32"/>
          <w:szCs w:val="32"/>
        </w:rPr>
        <w:t>116.54</w:t>
      </w:r>
      <w:r>
        <w:rPr>
          <w:rFonts w:hint="eastAsia" w:ascii="仿宋" w:hAnsi="仿宋" w:eastAsia="仿宋"/>
          <w:sz w:val="32"/>
          <w:szCs w:val="32"/>
        </w:rPr>
        <w:t>万元，占</w:t>
      </w:r>
      <w:r>
        <w:rPr>
          <w:rFonts w:ascii="仿宋" w:hAnsi="仿宋" w:eastAsia="仿宋"/>
          <w:sz w:val="32"/>
          <w:szCs w:val="32"/>
        </w:rPr>
        <w:t>1.76%</w:t>
      </w:r>
      <w:r>
        <w:rPr>
          <w:rFonts w:hint="eastAsia" w:ascii="仿宋" w:hAnsi="仿宋" w:eastAsia="仿宋"/>
          <w:sz w:val="32"/>
          <w:szCs w:val="32"/>
        </w:rPr>
        <w:t>；其他收入</w:t>
      </w:r>
      <w:r>
        <w:rPr>
          <w:rFonts w:ascii="仿宋" w:hAnsi="仿宋" w:eastAsia="仿宋"/>
          <w:sz w:val="32"/>
          <w:szCs w:val="32"/>
        </w:rPr>
        <w:t>201.26</w:t>
      </w:r>
      <w:r>
        <w:rPr>
          <w:rFonts w:hint="eastAsia" w:ascii="仿宋" w:hAnsi="仿宋" w:eastAsia="仿宋"/>
          <w:sz w:val="32"/>
          <w:szCs w:val="32"/>
        </w:rPr>
        <w:t>万元，占</w:t>
      </w:r>
      <w:r>
        <w:rPr>
          <w:rFonts w:ascii="仿宋" w:hAnsi="仿宋" w:eastAsia="仿宋"/>
          <w:sz w:val="32"/>
          <w:szCs w:val="32"/>
        </w:rPr>
        <w:t>3.04%</w:t>
      </w:r>
      <w:r>
        <w:rPr>
          <w:rFonts w:hint="eastAsia" w:ascii="仿宋" w:hAnsi="仿宋" w:eastAsia="仿宋"/>
          <w:sz w:val="32"/>
          <w:szCs w:val="32"/>
        </w:rPr>
        <w:t>。</w:t>
      </w:r>
      <w:bookmarkEnd w:id="32"/>
    </w:p>
    <w:p>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图2：收入决算结构图如下</w:t>
      </w:r>
    </w:p>
    <w:p>
      <w:pPr>
        <w:pStyle w:val="2"/>
        <w:spacing w:before="93"/>
      </w:pPr>
      <w:r>
        <w:drawing>
          <wp:inline distT="0" distB="0" distL="0" distR="0">
            <wp:extent cx="5172075" cy="2486025"/>
            <wp:effectExtent l="0" t="0" r="9525" b="952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2"/>
        <w:spacing w:before="93"/>
      </w:pPr>
    </w:p>
    <w:p>
      <w:pPr>
        <w:pStyle w:val="23"/>
        <w:numPr>
          <w:ilvl w:val="0"/>
          <w:numId w:val="2"/>
        </w:numPr>
        <w:spacing w:line="600" w:lineRule="exact"/>
        <w:ind w:firstLineChars="0"/>
        <w:outlineLvl w:val="1"/>
        <w:rPr>
          <w:rStyle w:val="25"/>
          <w:rFonts w:ascii="黑体" w:hAnsi="黑体" w:eastAsia="黑体"/>
          <w:b w:val="0"/>
        </w:rPr>
      </w:pPr>
      <w:bookmarkStart w:id="33" w:name="_Toc15377207"/>
      <w:bookmarkStart w:id="34" w:name="_Toc15396605"/>
      <w:bookmarkStart w:id="35" w:name="_Toc142059070"/>
      <w:r>
        <w:rPr>
          <w:rFonts w:hint="eastAsia" w:ascii="黑体" w:hAnsi="黑体" w:eastAsia="黑体"/>
          <w:sz w:val="32"/>
          <w:szCs w:val="32"/>
        </w:rPr>
        <w:t>支</w:t>
      </w:r>
      <w:r>
        <w:rPr>
          <w:rStyle w:val="25"/>
          <w:rFonts w:hint="eastAsia" w:ascii="黑体" w:hAnsi="黑体" w:eastAsia="黑体"/>
          <w:b w:val="0"/>
        </w:rPr>
        <w:t>出决算情况说明</w:t>
      </w:r>
      <w:bookmarkEnd w:id="33"/>
      <w:bookmarkEnd w:id="34"/>
      <w:bookmarkEnd w:id="35"/>
    </w:p>
    <w:p>
      <w:pPr>
        <w:spacing w:line="600" w:lineRule="exact"/>
        <w:ind w:firstLine="640" w:firstLineChars="200"/>
        <w:outlineLvl w:val="1"/>
        <w:rPr>
          <w:rFonts w:ascii="仿宋" w:hAnsi="仿宋" w:eastAsia="仿宋"/>
          <w:sz w:val="32"/>
          <w:szCs w:val="32"/>
        </w:rPr>
      </w:pPr>
      <w:bookmarkStart w:id="36" w:name="_Toc142059071"/>
      <w:r>
        <w:rPr>
          <w:rFonts w:ascii="仿宋" w:hAnsi="仿宋" w:eastAsia="仿宋"/>
          <w:sz w:val="32"/>
          <w:szCs w:val="32"/>
        </w:rPr>
        <w:t>20</w:t>
      </w:r>
      <w:r>
        <w:rPr>
          <w:rFonts w:hint="eastAsia" w:ascii="仿宋" w:hAnsi="仿宋" w:eastAsia="仿宋"/>
          <w:sz w:val="32"/>
          <w:szCs w:val="32"/>
        </w:rPr>
        <w:t>22年本年支出合计</w:t>
      </w:r>
      <w:r>
        <w:rPr>
          <w:rFonts w:ascii="仿宋" w:hAnsi="仿宋" w:eastAsia="仿宋"/>
          <w:sz w:val="32"/>
          <w:szCs w:val="32"/>
        </w:rPr>
        <w:t>6618.16</w:t>
      </w:r>
      <w:r>
        <w:rPr>
          <w:rFonts w:hint="eastAsia" w:ascii="仿宋" w:hAnsi="仿宋" w:eastAsia="仿宋"/>
          <w:sz w:val="32"/>
          <w:szCs w:val="32"/>
        </w:rPr>
        <w:t>万元，其中：基本支出</w:t>
      </w:r>
      <w:r>
        <w:rPr>
          <w:rFonts w:ascii="仿宋" w:hAnsi="仿宋" w:eastAsia="仿宋"/>
          <w:sz w:val="32"/>
          <w:szCs w:val="32"/>
        </w:rPr>
        <w:t>6288.96</w:t>
      </w:r>
      <w:r>
        <w:rPr>
          <w:rFonts w:hint="eastAsia" w:ascii="仿宋" w:hAnsi="仿宋" w:eastAsia="仿宋"/>
          <w:sz w:val="32"/>
          <w:szCs w:val="32"/>
        </w:rPr>
        <w:t>万元，占</w:t>
      </w:r>
      <w:r>
        <w:rPr>
          <w:rFonts w:ascii="仿宋" w:hAnsi="仿宋" w:eastAsia="仿宋"/>
          <w:sz w:val="32"/>
          <w:szCs w:val="32"/>
        </w:rPr>
        <w:t>95.03%</w:t>
      </w:r>
      <w:r>
        <w:rPr>
          <w:rFonts w:hint="eastAsia" w:ascii="仿宋" w:hAnsi="仿宋" w:eastAsia="仿宋"/>
          <w:sz w:val="32"/>
          <w:szCs w:val="32"/>
        </w:rPr>
        <w:t>；项目支出</w:t>
      </w:r>
      <w:r>
        <w:rPr>
          <w:rFonts w:ascii="仿宋" w:hAnsi="仿宋" w:eastAsia="仿宋"/>
          <w:sz w:val="32"/>
          <w:szCs w:val="32"/>
        </w:rPr>
        <w:t>262.37</w:t>
      </w:r>
      <w:r>
        <w:rPr>
          <w:rFonts w:hint="eastAsia" w:ascii="仿宋" w:hAnsi="仿宋" w:eastAsia="仿宋"/>
          <w:sz w:val="32"/>
          <w:szCs w:val="32"/>
        </w:rPr>
        <w:t>万元，占</w:t>
      </w:r>
      <w:r>
        <w:rPr>
          <w:rFonts w:ascii="仿宋" w:hAnsi="仿宋" w:eastAsia="仿宋"/>
          <w:sz w:val="32"/>
          <w:szCs w:val="32"/>
        </w:rPr>
        <w:t>3.96%</w:t>
      </w:r>
      <w:r>
        <w:rPr>
          <w:rFonts w:hint="eastAsia" w:ascii="仿宋" w:hAnsi="仿宋" w:eastAsia="仿宋"/>
          <w:sz w:val="32"/>
          <w:szCs w:val="32"/>
        </w:rPr>
        <w:t>；经营支出</w:t>
      </w:r>
      <w:r>
        <w:rPr>
          <w:rFonts w:ascii="仿宋" w:hAnsi="仿宋" w:eastAsia="仿宋"/>
          <w:sz w:val="32"/>
          <w:szCs w:val="32"/>
        </w:rPr>
        <w:t>66.83</w:t>
      </w:r>
      <w:r>
        <w:rPr>
          <w:rFonts w:hint="eastAsia" w:ascii="仿宋" w:hAnsi="仿宋" w:eastAsia="仿宋"/>
          <w:sz w:val="32"/>
          <w:szCs w:val="32"/>
        </w:rPr>
        <w:t>万元，占</w:t>
      </w:r>
      <w:r>
        <w:rPr>
          <w:rFonts w:ascii="仿宋" w:hAnsi="仿宋" w:eastAsia="仿宋"/>
          <w:sz w:val="32"/>
          <w:szCs w:val="32"/>
        </w:rPr>
        <w:t>1.01%</w:t>
      </w:r>
      <w:r>
        <w:rPr>
          <w:rFonts w:hint="eastAsia" w:ascii="仿宋" w:hAnsi="仿宋" w:eastAsia="仿宋"/>
          <w:sz w:val="32"/>
          <w:szCs w:val="32"/>
        </w:rPr>
        <w:t>。</w:t>
      </w:r>
      <w:bookmarkEnd w:id="36"/>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图3：支出决算结构图如下</w:t>
      </w:r>
    </w:p>
    <w:p>
      <w:pPr>
        <w:pStyle w:val="2"/>
        <w:spacing w:before="93"/>
      </w:pPr>
      <w:r>
        <w:drawing>
          <wp:inline distT="0" distB="0" distL="0" distR="0">
            <wp:extent cx="5114925" cy="2543175"/>
            <wp:effectExtent l="0" t="0" r="9525" b="952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rPr>
          <w:rFonts w:ascii="仿宋_GB2312" w:eastAsia="仿宋_GB2312"/>
          <w:sz w:val="32"/>
          <w:szCs w:val="32"/>
        </w:rPr>
      </w:pPr>
    </w:p>
    <w:p>
      <w:pPr>
        <w:spacing w:line="600" w:lineRule="exact"/>
        <w:ind w:firstLine="640" w:firstLineChars="200"/>
        <w:outlineLvl w:val="1"/>
        <w:rPr>
          <w:rStyle w:val="25"/>
          <w:rFonts w:ascii="黑体" w:hAnsi="黑体" w:eastAsia="黑体"/>
          <w:b w:val="0"/>
        </w:rPr>
      </w:pPr>
      <w:bookmarkStart w:id="37" w:name="_Toc15377208"/>
      <w:bookmarkStart w:id="38" w:name="_Toc15396606"/>
      <w:bookmarkStart w:id="39" w:name="_Toc142059072"/>
      <w:r>
        <w:rPr>
          <w:rFonts w:hint="eastAsia" w:ascii="黑体" w:hAnsi="黑体" w:eastAsia="黑体"/>
          <w:sz w:val="32"/>
          <w:szCs w:val="32"/>
        </w:rPr>
        <w:t>四、财</w:t>
      </w:r>
      <w:r>
        <w:rPr>
          <w:rStyle w:val="25"/>
          <w:rFonts w:hint="eastAsia" w:ascii="黑体" w:hAnsi="黑体" w:eastAsia="黑体"/>
          <w:b w:val="0"/>
        </w:rPr>
        <w:t>政拨款收入支出决算总体情况说明</w:t>
      </w:r>
      <w:bookmarkEnd w:id="37"/>
      <w:bookmarkEnd w:id="38"/>
      <w:bookmarkEnd w:id="39"/>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22年财政拨款收、支总计</w:t>
      </w:r>
      <w:r>
        <w:rPr>
          <w:rFonts w:ascii="仿宋" w:hAnsi="仿宋" w:eastAsia="仿宋"/>
          <w:sz w:val="32"/>
          <w:szCs w:val="32"/>
        </w:rPr>
        <w:t>6296.89</w:t>
      </w:r>
      <w:r>
        <w:rPr>
          <w:rFonts w:hint="eastAsia" w:ascii="仿宋" w:hAnsi="仿宋" w:eastAsia="仿宋"/>
          <w:sz w:val="32"/>
          <w:szCs w:val="32"/>
        </w:rPr>
        <w:t>万元。与</w:t>
      </w:r>
      <w:r>
        <w:rPr>
          <w:rFonts w:ascii="仿宋" w:hAnsi="仿宋" w:eastAsia="仿宋"/>
          <w:sz w:val="32"/>
          <w:szCs w:val="32"/>
        </w:rPr>
        <w:t>20</w:t>
      </w:r>
      <w:r>
        <w:rPr>
          <w:rFonts w:hint="eastAsia" w:ascii="仿宋" w:hAnsi="仿宋" w:eastAsia="仿宋"/>
          <w:sz w:val="32"/>
          <w:szCs w:val="32"/>
        </w:rPr>
        <w:t>21年的76</w:t>
      </w:r>
      <w:r>
        <w:rPr>
          <w:rFonts w:ascii="仿宋" w:hAnsi="仿宋" w:eastAsia="仿宋"/>
          <w:sz w:val="32"/>
          <w:szCs w:val="32"/>
        </w:rPr>
        <w:t>6</w:t>
      </w:r>
      <w:r>
        <w:rPr>
          <w:rFonts w:hint="eastAsia" w:ascii="仿宋" w:hAnsi="仿宋" w:eastAsia="仿宋"/>
          <w:sz w:val="32"/>
          <w:szCs w:val="32"/>
        </w:rPr>
        <w:t>6.45相比，财政拨款收、支总计各减少</w:t>
      </w:r>
      <w:r>
        <w:rPr>
          <w:rFonts w:ascii="仿宋" w:hAnsi="仿宋" w:eastAsia="仿宋"/>
          <w:sz w:val="32"/>
          <w:szCs w:val="32"/>
        </w:rPr>
        <w:t>1369.56</w:t>
      </w:r>
      <w:r>
        <w:rPr>
          <w:rFonts w:hint="eastAsia" w:ascii="仿宋" w:hAnsi="仿宋" w:eastAsia="仿宋"/>
          <w:sz w:val="32"/>
          <w:szCs w:val="32"/>
        </w:rPr>
        <w:t>万元，下降</w:t>
      </w:r>
      <w:r>
        <w:rPr>
          <w:rFonts w:ascii="仿宋" w:hAnsi="仿宋" w:eastAsia="仿宋"/>
          <w:sz w:val="32"/>
          <w:szCs w:val="32"/>
        </w:rPr>
        <w:t>17.86%</w:t>
      </w:r>
      <w:r>
        <w:rPr>
          <w:rFonts w:hint="eastAsia" w:ascii="仿宋" w:hAnsi="仿宋" w:eastAsia="仿宋"/>
          <w:sz w:val="32"/>
          <w:szCs w:val="32"/>
        </w:rPr>
        <w:t>。</w:t>
      </w:r>
      <w:r>
        <w:rPr>
          <w:rFonts w:ascii="仿宋" w:hAnsi="仿宋" w:eastAsia="仿宋"/>
          <w:sz w:val="32"/>
          <w:szCs w:val="32"/>
        </w:rPr>
        <w:t>财政拨款主要变动原因是2021年有财政拨款地勘能力提升项目1000万元，退休</w:t>
      </w:r>
      <w:r>
        <w:rPr>
          <w:rFonts w:hint="eastAsia" w:ascii="仿宋" w:hAnsi="仿宋" w:eastAsia="仿宋"/>
          <w:sz w:val="32"/>
          <w:szCs w:val="32"/>
        </w:rPr>
        <w:t>“中人”一次性</w:t>
      </w:r>
      <w:r>
        <w:rPr>
          <w:rFonts w:ascii="仿宋" w:hAnsi="仿宋" w:eastAsia="仿宋"/>
          <w:sz w:val="32"/>
          <w:szCs w:val="32"/>
        </w:rPr>
        <w:t>生活补贴300余万元，2022年无以上两项财政拨款，造成收支总计减少幅度较大。</w:t>
      </w:r>
    </w:p>
    <w:p>
      <w:pPr>
        <w:spacing w:line="600" w:lineRule="exact"/>
        <w:rPr>
          <w:rFonts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图4：财政拨款收、支决算总计变动情况图如下</w:t>
      </w:r>
    </w:p>
    <w:p>
      <w:pPr>
        <w:pStyle w:val="2"/>
        <w:spacing w:before="93"/>
      </w:pPr>
      <w:r>
        <w:drawing>
          <wp:inline distT="0" distB="0" distL="0" distR="0">
            <wp:extent cx="5277485" cy="2832100"/>
            <wp:effectExtent l="0" t="0" r="18415" b="635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2"/>
        <w:spacing w:before="93"/>
      </w:pPr>
    </w:p>
    <w:p>
      <w:pPr>
        <w:spacing w:line="600" w:lineRule="exact"/>
        <w:ind w:firstLine="640" w:firstLineChars="200"/>
        <w:outlineLvl w:val="1"/>
        <w:rPr>
          <w:rStyle w:val="25"/>
          <w:rFonts w:ascii="黑体" w:hAnsi="黑体" w:eastAsia="黑体"/>
          <w:b w:val="0"/>
        </w:rPr>
      </w:pPr>
      <w:bookmarkStart w:id="40" w:name="_Toc15396607"/>
      <w:bookmarkStart w:id="41" w:name="_Toc15377209"/>
      <w:bookmarkStart w:id="42" w:name="_Toc142059073"/>
      <w:r>
        <w:rPr>
          <w:rFonts w:hint="eastAsia" w:ascii="黑体" w:hAnsi="黑体" w:eastAsia="黑体"/>
          <w:sz w:val="32"/>
          <w:szCs w:val="32"/>
        </w:rPr>
        <w:t>五、</w:t>
      </w:r>
      <w:r>
        <w:rPr>
          <w:rFonts w:hint="eastAsia" w:ascii="黑体" w:hAnsi="黑体" w:eastAsia="黑体"/>
          <w:b/>
          <w:sz w:val="32"/>
          <w:szCs w:val="32"/>
        </w:rPr>
        <w:t>一</w:t>
      </w:r>
      <w:r>
        <w:rPr>
          <w:rStyle w:val="25"/>
          <w:rFonts w:hint="eastAsia" w:ascii="黑体" w:hAnsi="黑体" w:eastAsia="黑体"/>
          <w:b w:val="0"/>
        </w:rPr>
        <w:t>般公共预算财政拨款支出决算情况说明</w:t>
      </w:r>
      <w:bookmarkEnd w:id="40"/>
      <w:bookmarkEnd w:id="41"/>
      <w:bookmarkEnd w:id="42"/>
    </w:p>
    <w:p>
      <w:pPr>
        <w:spacing w:line="600" w:lineRule="exact"/>
        <w:ind w:firstLine="643" w:firstLineChars="200"/>
        <w:outlineLvl w:val="2"/>
        <w:rPr>
          <w:rFonts w:ascii="仿宋" w:hAnsi="仿宋" w:eastAsia="仿宋"/>
          <w:b/>
          <w:sz w:val="32"/>
          <w:szCs w:val="32"/>
        </w:rPr>
      </w:pPr>
      <w:bookmarkStart w:id="43" w:name="_Toc15377210"/>
      <w:bookmarkStart w:id="44" w:name="_Toc142059074"/>
      <w:r>
        <w:rPr>
          <w:rFonts w:hint="eastAsia" w:ascii="仿宋" w:hAnsi="仿宋" w:eastAsia="仿宋"/>
          <w:b/>
          <w:sz w:val="32"/>
          <w:szCs w:val="32"/>
        </w:rPr>
        <w:t>（一）一般公共预算财政拨款支出决算总体情况</w:t>
      </w:r>
      <w:bookmarkEnd w:id="43"/>
      <w:bookmarkEnd w:id="44"/>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w:t>
      </w:r>
      <w:r>
        <w:rPr>
          <w:rFonts w:ascii="仿宋" w:hAnsi="仿宋" w:eastAsia="仿宋"/>
          <w:sz w:val="32"/>
          <w:szCs w:val="32"/>
        </w:rPr>
        <w:t>6296.89</w:t>
      </w:r>
      <w:r>
        <w:rPr>
          <w:rFonts w:hint="eastAsia" w:ascii="仿宋" w:hAnsi="仿宋" w:eastAsia="仿宋"/>
          <w:sz w:val="32"/>
          <w:szCs w:val="32"/>
        </w:rPr>
        <w:t>万元，占本年支出合计的</w:t>
      </w:r>
      <w:r>
        <w:rPr>
          <w:rFonts w:ascii="仿宋" w:hAnsi="仿宋" w:eastAsia="仿宋"/>
          <w:sz w:val="32"/>
          <w:szCs w:val="32"/>
        </w:rPr>
        <w:t>95.15%</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21年相比，一般公共预算财政拨款支出减少</w:t>
      </w:r>
      <w:r>
        <w:rPr>
          <w:rFonts w:ascii="仿宋" w:hAnsi="仿宋" w:eastAsia="仿宋"/>
          <w:sz w:val="32"/>
          <w:szCs w:val="32"/>
        </w:rPr>
        <w:t>1369.56</w:t>
      </w:r>
      <w:r>
        <w:rPr>
          <w:rFonts w:hint="eastAsia" w:ascii="仿宋" w:hAnsi="仿宋" w:eastAsia="仿宋"/>
          <w:sz w:val="32"/>
          <w:szCs w:val="32"/>
        </w:rPr>
        <w:t>万元，下降</w:t>
      </w:r>
      <w:r>
        <w:rPr>
          <w:rFonts w:ascii="仿宋" w:hAnsi="仿宋" w:eastAsia="仿宋"/>
          <w:sz w:val="32"/>
          <w:szCs w:val="32"/>
        </w:rPr>
        <w:t>17.86%</w:t>
      </w:r>
      <w:r>
        <w:rPr>
          <w:rFonts w:hint="eastAsia" w:ascii="仿宋" w:hAnsi="仿宋" w:eastAsia="仿宋"/>
          <w:sz w:val="32"/>
          <w:szCs w:val="32"/>
        </w:rPr>
        <w:t>。主要变动原因是</w:t>
      </w:r>
      <w:r>
        <w:rPr>
          <w:rFonts w:ascii="仿宋" w:hAnsi="仿宋" w:eastAsia="仿宋"/>
          <w:sz w:val="32"/>
          <w:szCs w:val="32"/>
        </w:rPr>
        <w:t>2021年</w:t>
      </w:r>
      <w:r>
        <w:rPr>
          <w:rFonts w:hint="eastAsia" w:ascii="仿宋" w:hAnsi="仿宋" w:eastAsia="仿宋"/>
          <w:sz w:val="32"/>
          <w:szCs w:val="32"/>
        </w:rPr>
        <w:t>有</w:t>
      </w:r>
      <w:r>
        <w:rPr>
          <w:rFonts w:ascii="仿宋" w:hAnsi="仿宋" w:eastAsia="仿宋"/>
          <w:sz w:val="32"/>
          <w:szCs w:val="32"/>
        </w:rPr>
        <w:t>地勘能力提升项目1000万元，退休</w:t>
      </w:r>
      <w:r>
        <w:rPr>
          <w:rFonts w:hint="eastAsia" w:ascii="仿宋" w:hAnsi="仿宋" w:eastAsia="仿宋"/>
          <w:sz w:val="32"/>
          <w:szCs w:val="32"/>
        </w:rPr>
        <w:t>“中人”一次性</w:t>
      </w:r>
      <w:r>
        <w:rPr>
          <w:rFonts w:ascii="仿宋" w:hAnsi="仿宋" w:eastAsia="仿宋"/>
          <w:sz w:val="32"/>
          <w:szCs w:val="32"/>
        </w:rPr>
        <w:t>生活补贴300余万元</w:t>
      </w:r>
      <w:r>
        <w:rPr>
          <w:rFonts w:hint="eastAsia" w:ascii="仿宋" w:hAnsi="仿宋" w:eastAsia="仿宋"/>
          <w:sz w:val="32"/>
          <w:szCs w:val="32"/>
        </w:rPr>
        <w:t>，</w:t>
      </w:r>
      <w:r>
        <w:rPr>
          <w:rFonts w:ascii="仿宋" w:hAnsi="仿宋" w:eastAsia="仿宋"/>
          <w:sz w:val="32"/>
          <w:szCs w:val="32"/>
        </w:rPr>
        <w:t>2022年无以上两项财政拨款</w:t>
      </w:r>
      <w:r>
        <w:rPr>
          <w:rFonts w:hint="eastAsia" w:ascii="仿宋" w:hAnsi="仿宋" w:eastAsia="仿宋"/>
          <w:sz w:val="32"/>
          <w:szCs w:val="32"/>
        </w:rPr>
        <w:t>支出</w:t>
      </w:r>
      <w:r>
        <w:rPr>
          <w:rFonts w:ascii="仿宋" w:hAnsi="仿宋" w:eastAsia="仿宋"/>
          <w:sz w:val="32"/>
          <w:szCs w:val="32"/>
        </w:rPr>
        <w:t>，造成</w:t>
      </w:r>
      <w:r>
        <w:rPr>
          <w:rFonts w:hint="eastAsia" w:ascii="仿宋" w:hAnsi="仿宋" w:eastAsia="仿宋"/>
          <w:sz w:val="32"/>
          <w:szCs w:val="32"/>
        </w:rPr>
        <w:t>财政拨款</w:t>
      </w:r>
      <w:r>
        <w:rPr>
          <w:rFonts w:ascii="仿宋" w:hAnsi="仿宋" w:eastAsia="仿宋"/>
          <w:sz w:val="32"/>
          <w:szCs w:val="32"/>
        </w:rPr>
        <w:t>支出总计减少幅度较大</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图5：一般公共预算财政拨款支出决算变动情况图如下</w:t>
      </w:r>
    </w:p>
    <w:p>
      <w:pPr>
        <w:pStyle w:val="2"/>
        <w:spacing w:before="93"/>
      </w:pPr>
      <w:r>
        <w:drawing>
          <wp:inline distT="0" distB="0" distL="0" distR="0">
            <wp:extent cx="5227955" cy="3001010"/>
            <wp:effectExtent l="0" t="0" r="10795" b="889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pStyle w:val="2"/>
        <w:spacing w:before="93"/>
      </w:pPr>
    </w:p>
    <w:p>
      <w:pPr>
        <w:spacing w:line="600" w:lineRule="exact"/>
        <w:ind w:firstLine="643" w:firstLineChars="200"/>
        <w:outlineLvl w:val="2"/>
        <w:rPr>
          <w:rFonts w:ascii="仿宋" w:hAnsi="仿宋" w:eastAsia="仿宋"/>
          <w:b/>
          <w:sz w:val="32"/>
          <w:szCs w:val="32"/>
        </w:rPr>
      </w:pPr>
      <w:bookmarkStart w:id="45" w:name="_Toc142059075"/>
      <w:bookmarkStart w:id="46" w:name="_Toc15377211"/>
      <w:r>
        <w:rPr>
          <w:rFonts w:hint="eastAsia" w:ascii="仿宋" w:hAnsi="仿宋" w:eastAsia="仿宋"/>
          <w:b/>
          <w:sz w:val="32"/>
          <w:szCs w:val="32"/>
        </w:rPr>
        <w:t>（二）一般公共预算财政拨款支出决算结构情况</w:t>
      </w:r>
      <w:bookmarkEnd w:id="45"/>
      <w:bookmarkEnd w:id="46"/>
    </w:p>
    <w:p>
      <w:pPr>
        <w:spacing w:line="60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22年一般公共预算财政拨款支出</w:t>
      </w:r>
      <w:r>
        <w:rPr>
          <w:rFonts w:ascii="仿宋" w:hAnsi="仿宋" w:eastAsia="仿宋"/>
          <w:sz w:val="32"/>
          <w:szCs w:val="32"/>
        </w:rPr>
        <w:t>6296.89</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科学技术</w:t>
      </w:r>
      <w:r>
        <w:rPr>
          <w:rFonts w:hint="eastAsia" w:ascii="仿宋" w:hAnsi="仿宋" w:eastAsia="仿宋"/>
          <w:b/>
          <w:bCs/>
          <w:sz w:val="32"/>
          <w:szCs w:val="32"/>
        </w:rPr>
        <w:t>支出</w:t>
      </w:r>
      <w:r>
        <w:rPr>
          <w:rFonts w:ascii="仿宋" w:hAnsi="仿宋" w:eastAsia="仿宋"/>
          <w:sz w:val="32"/>
          <w:szCs w:val="32"/>
        </w:rPr>
        <w:t>50.00</w:t>
      </w:r>
      <w:r>
        <w:rPr>
          <w:rFonts w:hint="eastAsia" w:ascii="仿宋" w:hAnsi="仿宋" w:eastAsia="仿宋"/>
          <w:sz w:val="32"/>
          <w:szCs w:val="32"/>
        </w:rPr>
        <w:t>万元，占</w:t>
      </w:r>
      <w:r>
        <w:rPr>
          <w:rFonts w:ascii="仿宋" w:hAnsi="仿宋" w:eastAsia="仿宋"/>
          <w:sz w:val="32"/>
          <w:szCs w:val="32"/>
        </w:rPr>
        <w:t>0.79%</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ascii="仿宋" w:hAnsi="仿宋" w:eastAsia="仿宋"/>
          <w:sz w:val="32"/>
          <w:szCs w:val="32"/>
        </w:rPr>
        <w:t>1972.74</w:t>
      </w:r>
      <w:r>
        <w:rPr>
          <w:rFonts w:hint="eastAsia" w:ascii="仿宋" w:hAnsi="仿宋" w:eastAsia="仿宋"/>
          <w:sz w:val="32"/>
          <w:szCs w:val="32"/>
        </w:rPr>
        <w:t>万元，占</w:t>
      </w:r>
      <w:r>
        <w:rPr>
          <w:rFonts w:ascii="仿宋" w:hAnsi="仿宋" w:eastAsia="仿宋"/>
          <w:sz w:val="32"/>
          <w:szCs w:val="32"/>
        </w:rPr>
        <w:t>31.34%</w:t>
      </w:r>
      <w:r>
        <w:rPr>
          <w:rFonts w:hint="eastAsia" w:ascii="仿宋" w:hAnsi="仿宋" w:eastAsia="仿宋"/>
          <w:sz w:val="32"/>
          <w:szCs w:val="32"/>
        </w:rPr>
        <w:t>；</w:t>
      </w:r>
      <w:r>
        <w:rPr>
          <w:rFonts w:hint="eastAsia" w:ascii="仿宋" w:hAnsi="仿宋" w:eastAsia="仿宋"/>
          <w:b/>
          <w:bCs/>
          <w:sz w:val="32"/>
          <w:szCs w:val="32"/>
        </w:rPr>
        <w:t>卫生健康支出</w:t>
      </w:r>
      <w:r>
        <w:rPr>
          <w:rFonts w:ascii="仿宋" w:hAnsi="仿宋" w:eastAsia="仿宋"/>
          <w:sz w:val="32"/>
          <w:szCs w:val="32"/>
        </w:rPr>
        <w:t>368.00</w:t>
      </w:r>
      <w:r>
        <w:rPr>
          <w:rFonts w:hint="eastAsia" w:ascii="仿宋" w:hAnsi="仿宋" w:eastAsia="仿宋"/>
          <w:sz w:val="32"/>
          <w:szCs w:val="32"/>
        </w:rPr>
        <w:t>万元，占</w:t>
      </w:r>
      <w:r>
        <w:rPr>
          <w:rFonts w:ascii="仿宋" w:hAnsi="仿宋" w:eastAsia="仿宋"/>
          <w:sz w:val="32"/>
          <w:szCs w:val="32"/>
        </w:rPr>
        <w:t>5.84%</w:t>
      </w:r>
      <w:r>
        <w:rPr>
          <w:rFonts w:hint="eastAsia" w:ascii="仿宋" w:hAnsi="仿宋" w:eastAsia="仿宋"/>
          <w:sz w:val="32"/>
          <w:szCs w:val="32"/>
        </w:rPr>
        <w:t>；</w:t>
      </w:r>
      <w:r>
        <w:rPr>
          <w:rFonts w:hint="eastAsia" w:ascii="仿宋" w:hAnsi="仿宋" w:eastAsia="仿宋"/>
          <w:b/>
          <w:bCs/>
          <w:sz w:val="32"/>
          <w:szCs w:val="32"/>
        </w:rPr>
        <w:t>资源勘探</w:t>
      </w:r>
      <w:r>
        <w:rPr>
          <w:rFonts w:ascii="仿宋" w:hAnsi="仿宋" w:eastAsia="仿宋"/>
          <w:b/>
          <w:bCs/>
          <w:sz w:val="32"/>
          <w:szCs w:val="32"/>
        </w:rPr>
        <w:t>工业信息等支出</w:t>
      </w:r>
      <w:r>
        <w:rPr>
          <w:rFonts w:ascii="仿宋" w:hAnsi="仿宋" w:eastAsia="仿宋"/>
          <w:sz w:val="32"/>
          <w:szCs w:val="32"/>
        </w:rPr>
        <w:t>2850.75</w:t>
      </w:r>
      <w:r>
        <w:rPr>
          <w:rFonts w:hint="eastAsia" w:ascii="仿宋" w:hAnsi="仿宋" w:eastAsia="仿宋"/>
          <w:sz w:val="32"/>
          <w:szCs w:val="32"/>
        </w:rPr>
        <w:t>万元，占</w:t>
      </w:r>
      <w:r>
        <w:rPr>
          <w:rFonts w:ascii="仿宋" w:hAnsi="仿宋" w:eastAsia="仿宋"/>
          <w:sz w:val="32"/>
          <w:szCs w:val="32"/>
        </w:rPr>
        <w:t>45.27%</w:t>
      </w:r>
      <w:r>
        <w:rPr>
          <w:rFonts w:hint="eastAsia" w:ascii="仿宋" w:hAnsi="仿宋" w:eastAsia="仿宋"/>
          <w:sz w:val="32"/>
          <w:szCs w:val="32"/>
        </w:rPr>
        <w:t>；</w:t>
      </w:r>
      <w:r>
        <w:rPr>
          <w:rFonts w:hint="eastAsia" w:ascii="仿宋" w:hAnsi="仿宋" w:eastAsia="仿宋"/>
          <w:b/>
          <w:bCs/>
          <w:sz w:val="32"/>
          <w:szCs w:val="32"/>
        </w:rPr>
        <w:t>住房保障支出</w:t>
      </w:r>
      <w:r>
        <w:rPr>
          <w:rFonts w:ascii="仿宋" w:hAnsi="仿宋" w:eastAsia="仿宋"/>
          <w:sz w:val="32"/>
          <w:szCs w:val="32"/>
        </w:rPr>
        <w:t>1055.40</w:t>
      </w:r>
      <w:r>
        <w:rPr>
          <w:rFonts w:hint="eastAsia" w:ascii="仿宋" w:hAnsi="仿宋" w:eastAsia="仿宋"/>
          <w:sz w:val="32"/>
          <w:szCs w:val="32"/>
        </w:rPr>
        <w:t>万元，占1</w:t>
      </w:r>
      <w:r>
        <w:rPr>
          <w:rFonts w:ascii="仿宋" w:hAnsi="仿宋" w:eastAsia="仿宋"/>
          <w:sz w:val="32"/>
          <w:szCs w:val="32"/>
        </w:rPr>
        <w:t>6.76%</w:t>
      </w:r>
      <w:r>
        <w:rPr>
          <w:rFonts w:hint="eastAsia" w:ascii="仿宋" w:hAnsi="仿宋" w:eastAsia="仿宋"/>
          <w:sz w:val="32"/>
          <w:szCs w:val="32"/>
        </w:rPr>
        <w:t>。</w:t>
      </w:r>
    </w:p>
    <w:p>
      <w:pPr>
        <w:spacing w:line="600" w:lineRule="exact"/>
        <w:rPr>
          <w:rFonts w:hint="eastAsia"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图6：一般公共预算财政拨款支出决算结构图如下</w:t>
      </w:r>
    </w:p>
    <w:p>
      <w:pPr>
        <w:pStyle w:val="2"/>
        <w:spacing w:before="93"/>
      </w:pPr>
      <w:r>
        <w:drawing>
          <wp:inline distT="0" distB="0" distL="0" distR="0">
            <wp:extent cx="5237480" cy="2931795"/>
            <wp:effectExtent l="0" t="0" r="1270" b="190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pStyle w:val="2"/>
        <w:spacing w:before="93"/>
      </w:pPr>
    </w:p>
    <w:p>
      <w:pPr>
        <w:spacing w:line="600" w:lineRule="exact"/>
        <w:ind w:firstLine="643" w:firstLineChars="200"/>
        <w:outlineLvl w:val="2"/>
        <w:rPr>
          <w:rFonts w:ascii="仿宋" w:hAnsi="仿宋" w:eastAsia="仿宋"/>
          <w:b/>
          <w:sz w:val="32"/>
          <w:szCs w:val="32"/>
        </w:rPr>
      </w:pPr>
      <w:bookmarkStart w:id="47" w:name="_Toc15377212"/>
      <w:bookmarkStart w:id="48" w:name="_Toc142059076"/>
      <w:r>
        <w:rPr>
          <w:rFonts w:hint="eastAsia" w:ascii="仿宋" w:hAnsi="仿宋" w:eastAsia="仿宋"/>
          <w:b/>
          <w:sz w:val="32"/>
          <w:szCs w:val="32"/>
        </w:rPr>
        <w:t>（三）一般公共预算财政拨款支出决算具体情况</w:t>
      </w:r>
      <w:bookmarkEnd w:id="47"/>
      <w:bookmarkEnd w:id="48"/>
    </w:p>
    <w:p>
      <w:pPr>
        <w:spacing w:line="600" w:lineRule="exact"/>
        <w:ind w:firstLine="643" w:firstLineChars="200"/>
        <w:outlineLvl w:val="2"/>
        <w:rPr>
          <w:rFonts w:ascii="仿宋" w:hAnsi="仿宋" w:eastAsia="仿宋"/>
          <w:sz w:val="32"/>
          <w:szCs w:val="32"/>
        </w:rPr>
      </w:pPr>
      <w:bookmarkStart w:id="49" w:name="_Toc15377444"/>
      <w:bookmarkStart w:id="50" w:name="_Toc15378460"/>
      <w:bookmarkStart w:id="51" w:name="_Toc15377213"/>
      <w:bookmarkStart w:id="52" w:name="_Toc142059077"/>
      <w:r>
        <w:rPr>
          <w:rFonts w:hint="eastAsia" w:ascii="仿宋" w:hAnsi="仿宋" w:eastAsia="仿宋"/>
          <w:b/>
          <w:sz w:val="32"/>
          <w:szCs w:val="32"/>
        </w:rPr>
        <w:t>2022年一般公共预算支出决算数为</w:t>
      </w:r>
      <w:r>
        <w:rPr>
          <w:rFonts w:ascii="仿宋" w:hAnsi="仿宋" w:eastAsia="仿宋"/>
          <w:b/>
          <w:sz w:val="32"/>
          <w:szCs w:val="32"/>
        </w:rPr>
        <w:t>6296.89</w:t>
      </w:r>
      <w:r>
        <w:rPr>
          <w:rFonts w:hint="eastAsia" w:ascii="仿宋" w:hAnsi="仿宋" w:eastAsia="仿宋"/>
          <w:b/>
          <w:sz w:val="32"/>
          <w:szCs w:val="32"/>
        </w:rPr>
        <w:t>万元</w:t>
      </w:r>
      <w:r>
        <w:rPr>
          <w:rFonts w:hint="eastAsia" w:ascii="仿宋" w:hAnsi="仿宋" w:eastAsia="仿宋"/>
          <w:sz w:val="32"/>
          <w:szCs w:val="32"/>
        </w:rPr>
        <w:t>，</w:t>
      </w:r>
      <w:r>
        <w:rPr>
          <w:rStyle w:val="14"/>
          <w:rFonts w:hint="eastAsia" w:ascii="仿宋" w:hAnsi="仿宋" w:eastAsia="仿宋"/>
          <w:bCs/>
          <w:sz w:val="32"/>
          <w:szCs w:val="32"/>
        </w:rPr>
        <w:t>完成预算</w:t>
      </w:r>
      <w:r>
        <w:rPr>
          <w:rStyle w:val="14"/>
          <w:rFonts w:ascii="仿宋" w:hAnsi="仿宋" w:eastAsia="仿宋"/>
          <w:bCs/>
          <w:sz w:val="32"/>
          <w:szCs w:val="32"/>
        </w:rPr>
        <w:t>100%</w:t>
      </w:r>
      <w:r>
        <w:rPr>
          <w:rStyle w:val="14"/>
          <w:rFonts w:hint="eastAsia" w:ascii="仿宋" w:hAnsi="仿宋" w:eastAsia="仿宋"/>
          <w:bCs/>
          <w:sz w:val="32"/>
          <w:szCs w:val="32"/>
        </w:rPr>
        <w:t>。其中：</w:t>
      </w:r>
      <w:bookmarkEnd w:id="49"/>
      <w:bookmarkEnd w:id="50"/>
      <w:bookmarkEnd w:id="51"/>
      <w:bookmarkEnd w:id="52"/>
    </w:p>
    <w:p>
      <w:pPr>
        <w:spacing w:line="600" w:lineRule="exact"/>
        <w:ind w:firstLine="643" w:firstLineChars="200"/>
        <w:rPr>
          <w:rFonts w:ascii="仿宋" w:hAnsi="仿宋" w:eastAsia="仿宋"/>
          <w:b/>
          <w:sz w:val="32"/>
          <w:szCs w:val="32"/>
        </w:rPr>
      </w:pPr>
      <w:r>
        <w:rPr>
          <w:rStyle w:val="14"/>
          <w:rFonts w:ascii="仿宋" w:hAnsi="仿宋" w:eastAsia="仿宋"/>
          <w:bCs/>
          <w:sz w:val="32"/>
          <w:szCs w:val="32"/>
        </w:rPr>
        <w:t>1.</w:t>
      </w:r>
      <w:r>
        <w:rPr>
          <w:rStyle w:val="14"/>
          <w:rFonts w:hint="eastAsia" w:ascii="仿宋" w:hAnsi="仿宋" w:eastAsia="仿宋"/>
          <w:bCs/>
          <w:sz w:val="32"/>
          <w:szCs w:val="32"/>
        </w:rPr>
        <w:t xml:space="preserve"> 科学技术（类）科技重大项目（款）重点研发计划（项）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w:t>
      </w:r>
      <w:r>
        <w:rPr>
          <w:rStyle w:val="14"/>
          <w:rFonts w:ascii="仿宋" w:hAnsi="仿宋" w:eastAsia="仿宋"/>
          <w:b w:val="0"/>
          <w:bCs/>
          <w:sz w:val="32"/>
          <w:szCs w:val="32"/>
        </w:rPr>
        <w:t>50.00</w:t>
      </w:r>
      <w:r>
        <w:rPr>
          <w:rStyle w:val="14"/>
          <w:rFonts w:hint="eastAsia" w:ascii="仿宋" w:hAnsi="仿宋" w:eastAsia="仿宋"/>
          <w:b w:val="0"/>
          <w:bCs/>
          <w:sz w:val="32"/>
          <w:szCs w:val="32"/>
        </w:rPr>
        <w:t>万元，完成预算</w:t>
      </w:r>
      <w:r>
        <w:rPr>
          <w:rStyle w:val="14"/>
          <w:rFonts w:ascii="仿宋" w:hAnsi="仿宋" w:eastAsia="仿宋"/>
          <w:b w:val="0"/>
          <w:bCs/>
          <w:sz w:val="32"/>
          <w:szCs w:val="32"/>
        </w:rPr>
        <w:t>100%</w:t>
      </w:r>
      <w:r>
        <w:rPr>
          <w:rStyle w:val="14"/>
          <w:rFonts w:hint="eastAsia" w:ascii="仿宋" w:hAnsi="仿宋" w:eastAsia="仿宋"/>
          <w:b w:val="0"/>
          <w:bCs/>
          <w:sz w:val="32"/>
          <w:szCs w:val="32"/>
        </w:rPr>
        <w:t>。</w:t>
      </w:r>
    </w:p>
    <w:p>
      <w:pPr>
        <w:spacing w:line="600" w:lineRule="exact"/>
        <w:ind w:firstLine="643" w:firstLineChars="200"/>
        <w:rPr>
          <w:rStyle w:val="14"/>
          <w:rFonts w:ascii="仿宋" w:hAnsi="仿宋" w:eastAsia="仿宋"/>
          <w:b w:val="0"/>
          <w:bCs/>
          <w:sz w:val="32"/>
          <w:szCs w:val="32"/>
        </w:rPr>
      </w:pPr>
      <w:r>
        <w:rPr>
          <w:rStyle w:val="14"/>
          <w:rFonts w:ascii="仿宋" w:hAnsi="仿宋" w:eastAsia="仿宋"/>
          <w:bCs/>
          <w:sz w:val="32"/>
          <w:szCs w:val="32"/>
        </w:rPr>
        <w:t>2.</w:t>
      </w:r>
      <w:r>
        <w:rPr>
          <w:rStyle w:val="14"/>
          <w:rFonts w:hint="eastAsia" w:ascii="仿宋" w:hAnsi="仿宋" w:eastAsia="仿宋"/>
          <w:bCs/>
          <w:sz w:val="32"/>
          <w:szCs w:val="32"/>
        </w:rPr>
        <w:t xml:space="preserve"> 社会保障和就业（类）行政事业单位养老支出（款）事业单位离退休（项）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w:t>
      </w:r>
      <w:r>
        <w:rPr>
          <w:rStyle w:val="14"/>
          <w:rFonts w:ascii="仿宋" w:hAnsi="仿宋" w:eastAsia="仿宋"/>
          <w:b w:val="0"/>
          <w:bCs/>
          <w:sz w:val="32"/>
          <w:szCs w:val="32"/>
        </w:rPr>
        <w:t>989.74</w:t>
      </w:r>
      <w:r>
        <w:rPr>
          <w:rStyle w:val="14"/>
          <w:rFonts w:hint="eastAsia" w:ascii="仿宋" w:hAnsi="仿宋" w:eastAsia="仿宋"/>
          <w:b w:val="0"/>
          <w:bCs/>
          <w:sz w:val="32"/>
          <w:szCs w:val="32"/>
        </w:rPr>
        <w:t>万元，完成预算</w:t>
      </w:r>
      <w:r>
        <w:rPr>
          <w:rStyle w:val="14"/>
          <w:rFonts w:ascii="仿宋" w:hAnsi="仿宋" w:eastAsia="仿宋"/>
          <w:b w:val="0"/>
          <w:bCs/>
          <w:sz w:val="32"/>
          <w:szCs w:val="32"/>
        </w:rPr>
        <w:t>100%</w:t>
      </w:r>
      <w:r>
        <w:rPr>
          <w:rStyle w:val="14"/>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4"/>
          <w:rFonts w:ascii="仿宋" w:hAnsi="仿宋" w:eastAsia="仿宋"/>
          <w:bCs/>
          <w:sz w:val="32"/>
          <w:szCs w:val="32"/>
        </w:rPr>
        <w:t>3.</w:t>
      </w:r>
      <w:r>
        <w:rPr>
          <w:rStyle w:val="14"/>
          <w:rFonts w:hint="eastAsia" w:ascii="仿宋" w:hAnsi="仿宋" w:eastAsia="仿宋"/>
          <w:bCs/>
          <w:sz w:val="32"/>
          <w:szCs w:val="32"/>
        </w:rPr>
        <w:t xml:space="preserve"> 社会保障和就业（类）行政事业单位养老支出（款）机关事业单位基本养老</w:t>
      </w:r>
      <w:r>
        <w:rPr>
          <w:rStyle w:val="14"/>
          <w:rFonts w:ascii="仿宋" w:hAnsi="仿宋" w:eastAsia="仿宋"/>
          <w:bCs/>
          <w:sz w:val="32"/>
          <w:szCs w:val="32"/>
        </w:rPr>
        <w:t>保险缴费支出</w:t>
      </w:r>
      <w:r>
        <w:rPr>
          <w:rStyle w:val="14"/>
          <w:rFonts w:hint="eastAsia" w:ascii="仿宋" w:hAnsi="仿宋" w:eastAsia="仿宋"/>
          <w:bCs/>
          <w:sz w:val="32"/>
          <w:szCs w:val="32"/>
        </w:rPr>
        <w:t>（项）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w:t>
      </w:r>
      <w:r>
        <w:rPr>
          <w:rStyle w:val="14"/>
          <w:rFonts w:ascii="仿宋" w:hAnsi="仿宋" w:eastAsia="仿宋"/>
          <w:b w:val="0"/>
          <w:bCs/>
          <w:sz w:val="32"/>
          <w:szCs w:val="32"/>
        </w:rPr>
        <w:t>655.00</w:t>
      </w:r>
      <w:r>
        <w:rPr>
          <w:rStyle w:val="14"/>
          <w:rFonts w:hint="eastAsia" w:ascii="仿宋" w:hAnsi="仿宋" w:eastAsia="仿宋"/>
          <w:b w:val="0"/>
          <w:bCs/>
          <w:sz w:val="32"/>
          <w:szCs w:val="32"/>
        </w:rPr>
        <w:t>万元，完成预算</w:t>
      </w:r>
      <w:r>
        <w:rPr>
          <w:rStyle w:val="14"/>
          <w:rFonts w:ascii="仿宋" w:hAnsi="仿宋" w:eastAsia="仿宋"/>
          <w:b w:val="0"/>
          <w:bCs/>
          <w:sz w:val="32"/>
          <w:szCs w:val="32"/>
        </w:rPr>
        <w:t>100%</w:t>
      </w:r>
      <w:r>
        <w:rPr>
          <w:rStyle w:val="14"/>
          <w:rFonts w:hint="eastAsia" w:ascii="仿宋" w:hAnsi="仿宋" w:eastAsia="仿宋"/>
          <w:b w:val="0"/>
          <w:bCs/>
          <w:sz w:val="32"/>
          <w:szCs w:val="32"/>
        </w:rPr>
        <w:t>。</w:t>
      </w:r>
    </w:p>
    <w:p>
      <w:pPr>
        <w:pStyle w:val="2"/>
        <w:spacing w:before="93"/>
        <w:ind w:firstLine="643" w:firstLineChars="200"/>
      </w:pPr>
      <w:r>
        <w:rPr>
          <w:rStyle w:val="14"/>
          <w:rFonts w:ascii="仿宋" w:hAnsi="仿宋" w:eastAsia="仿宋"/>
          <w:bCs/>
          <w:sz w:val="32"/>
          <w:szCs w:val="32"/>
        </w:rPr>
        <w:t>4.</w:t>
      </w:r>
      <w:r>
        <w:rPr>
          <w:rStyle w:val="14"/>
          <w:rFonts w:hint="eastAsia" w:ascii="仿宋" w:hAnsi="仿宋" w:eastAsia="仿宋"/>
          <w:bCs/>
          <w:sz w:val="32"/>
          <w:szCs w:val="32"/>
        </w:rPr>
        <w:t xml:space="preserve"> 社会保障和就业（类）行政事业单位养老支出（款）机关事业单位职业年金缴费支出（项）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w:t>
      </w:r>
      <w:r>
        <w:rPr>
          <w:rStyle w:val="14"/>
          <w:rFonts w:ascii="仿宋" w:hAnsi="仿宋" w:eastAsia="仿宋"/>
          <w:b w:val="0"/>
          <w:bCs/>
          <w:sz w:val="32"/>
          <w:szCs w:val="32"/>
        </w:rPr>
        <w:t>328.00</w:t>
      </w:r>
      <w:r>
        <w:rPr>
          <w:rStyle w:val="14"/>
          <w:rFonts w:hint="eastAsia" w:ascii="仿宋" w:hAnsi="仿宋" w:eastAsia="仿宋"/>
          <w:b w:val="0"/>
          <w:bCs/>
          <w:sz w:val="32"/>
          <w:szCs w:val="32"/>
        </w:rPr>
        <w:t>万元，完成预算</w:t>
      </w:r>
      <w:r>
        <w:rPr>
          <w:rStyle w:val="14"/>
          <w:rFonts w:ascii="仿宋" w:hAnsi="仿宋" w:eastAsia="仿宋"/>
          <w:b w:val="0"/>
          <w:bCs/>
          <w:sz w:val="32"/>
          <w:szCs w:val="32"/>
        </w:rPr>
        <w:t>100%</w:t>
      </w:r>
      <w:r>
        <w:rPr>
          <w:rStyle w:val="14"/>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4"/>
          <w:rFonts w:ascii="仿宋" w:hAnsi="仿宋" w:eastAsia="仿宋"/>
          <w:bCs/>
          <w:sz w:val="32"/>
          <w:szCs w:val="32"/>
        </w:rPr>
        <w:t>5.</w:t>
      </w:r>
      <w:r>
        <w:rPr>
          <w:rFonts w:hint="eastAsia" w:ascii="仿宋" w:hAnsi="仿宋" w:eastAsia="仿宋"/>
          <w:b/>
          <w:bCs/>
          <w:sz w:val="32"/>
          <w:szCs w:val="32"/>
        </w:rPr>
        <w:t xml:space="preserve"> 卫生健康</w:t>
      </w:r>
      <w:r>
        <w:rPr>
          <w:rStyle w:val="14"/>
          <w:rFonts w:hint="eastAsia" w:ascii="仿宋" w:hAnsi="仿宋" w:eastAsia="仿宋"/>
          <w:bCs/>
          <w:sz w:val="32"/>
          <w:szCs w:val="32"/>
        </w:rPr>
        <w:t>（类）行政事业单位医疗（款）事业单位医疗（项）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w:t>
      </w:r>
      <w:r>
        <w:rPr>
          <w:rStyle w:val="14"/>
          <w:rFonts w:ascii="仿宋" w:hAnsi="仿宋" w:eastAsia="仿宋"/>
          <w:b w:val="0"/>
          <w:bCs/>
          <w:sz w:val="32"/>
          <w:szCs w:val="32"/>
        </w:rPr>
        <w:t>368.00</w:t>
      </w:r>
      <w:r>
        <w:rPr>
          <w:rStyle w:val="14"/>
          <w:rFonts w:hint="eastAsia" w:ascii="仿宋" w:hAnsi="仿宋" w:eastAsia="仿宋"/>
          <w:b w:val="0"/>
          <w:bCs/>
          <w:sz w:val="32"/>
          <w:szCs w:val="32"/>
        </w:rPr>
        <w:t>万元，完成预算</w:t>
      </w:r>
      <w:r>
        <w:rPr>
          <w:rStyle w:val="14"/>
          <w:rFonts w:ascii="仿宋" w:hAnsi="仿宋" w:eastAsia="仿宋"/>
          <w:b w:val="0"/>
          <w:bCs/>
          <w:sz w:val="32"/>
          <w:szCs w:val="32"/>
        </w:rPr>
        <w:t>100%</w:t>
      </w:r>
      <w:r>
        <w:rPr>
          <w:rStyle w:val="14"/>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4"/>
          <w:rFonts w:ascii="仿宋" w:hAnsi="仿宋" w:eastAsia="仿宋"/>
          <w:bCs/>
          <w:sz w:val="32"/>
          <w:szCs w:val="32"/>
        </w:rPr>
        <w:t>6.</w:t>
      </w:r>
      <w:r>
        <w:rPr>
          <w:rStyle w:val="14"/>
          <w:rFonts w:hint="eastAsia" w:ascii="仿宋" w:hAnsi="仿宋" w:eastAsia="仿宋"/>
          <w:bCs/>
          <w:sz w:val="32"/>
          <w:szCs w:val="32"/>
        </w:rPr>
        <w:t>资源勘探工业信息（类）资源勘探开发（款）其他资源勘探业支出（项）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w:t>
      </w:r>
      <w:r>
        <w:rPr>
          <w:rStyle w:val="14"/>
          <w:rFonts w:ascii="仿宋" w:hAnsi="仿宋" w:eastAsia="仿宋"/>
          <w:b w:val="0"/>
          <w:bCs/>
          <w:sz w:val="32"/>
          <w:szCs w:val="32"/>
        </w:rPr>
        <w:t>2850.75</w:t>
      </w:r>
      <w:r>
        <w:rPr>
          <w:rStyle w:val="14"/>
          <w:rFonts w:hint="eastAsia" w:ascii="仿宋" w:hAnsi="仿宋" w:eastAsia="仿宋"/>
          <w:b w:val="0"/>
          <w:bCs/>
          <w:sz w:val="32"/>
          <w:szCs w:val="32"/>
        </w:rPr>
        <w:t>万元，完成预算</w:t>
      </w:r>
      <w:r>
        <w:rPr>
          <w:rStyle w:val="14"/>
          <w:rFonts w:ascii="仿宋" w:hAnsi="仿宋" w:eastAsia="仿宋"/>
          <w:b w:val="0"/>
          <w:bCs/>
          <w:sz w:val="32"/>
          <w:szCs w:val="32"/>
        </w:rPr>
        <w:t>100%</w:t>
      </w:r>
      <w:r>
        <w:rPr>
          <w:rStyle w:val="14"/>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4"/>
          <w:rFonts w:ascii="仿宋" w:hAnsi="仿宋" w:eastAsia="仿宋"/>
          <w:bCs/>
          <w:sz w:val="32"/>
          <w:szCs w:val="32"/>
        </w:rPr>
        <w:t>7.</w:t>
      </w:r>
      <w:r>
        <w:rPr>
          <w:rStyle w:val="14"/>
          <w:rFonts w:hint="eastAsia" w:ascii="仿宋" w:hAnsi="仿宋" w:eastAsia="仿宋"/>
          <w:bCs/>
          <w:sz w:val="32"/>
          <w:szCs w:val="32"/>
        </w:rPr>
        <w:t>住房保障支出（类）住房改革支出（款）住房公积金（项）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w:t>
      </w:r>
      <w:r>
        <w:rPr>
          <w:rStyle w:val="14"/>
          <w:rFonts w:ascii="仿宋" w:hAnsi="仿宋" w:eastAsia="仿宋"/>
          <w:b w:val="0"/>
          <w:bCs/>
          <w:sz w:val="32"/>
          <w:szCs w:val="32"/>
        </w:rPr>
        <w:t>435.45</w:t>
      </w:r>
      <w:r>
        <w:rPr>
          <w:rStyle w:val="14"/>
          <w:rFonts w:hint="eastAsia" w:ascii="仿宋" w:hAnsi="仿宋" w:eastAsia="仿宋"/>
          <w:b w:val="0"/>
          <w:bCs/>
          <w:sz w:val="32"/>
          <w:szCs w:val="32"/>
        </w:rPr>
        <w:t>万元，完成预算</w:t>
      </w:r>
      <w:r>
        <w:rPr>
          <w:rStyle w:val="14"/>
          <w:rFonts w:ascii="仿宋" w:hAnsi="仿宋" w:eastAsia="仿宋"/>
          <w:b w:val="0"/>
          <w:bCs/>
          <w:sz w:val="32"/>
          <w:szCs w:val="32"/>
        </w:rPr>
        <w:t>100%</w:t>
      </w:r>
      <w:r>
        <w:rPr>
          <w:rStyle w:val="14"/>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4"/>
          <w:rFonts w:ascii="仿宋" w:hAnsi="仿宋" w:eastAsia="仿宋"/>
          <w:bCs/>
          <w:sz w:val="32"/>
          <w:szCs w:val="32"/>
        </w:rPr>
        <w:t>6.</w:t>
      </w:r>
      <w:r>
        <w:rPr>
          <w:rStyle w:val="14"/>
          <w:rFonts w:hint="eastAsia" w:ascii="仿宋" w:hAnsi="仿宋" w:eastAsia="仿宋"/>
          <w:bCs/>
          <w:sz w:val="32"/>
          <w:szCs w:val="32"/>
        </w:rPr>
        <w:t xml:space="preserve"> 住房保障支出（类）住房改革支出（款）购房补贴（项）</w:t>
      </w:r>
      <w:r>
        <w:rPr>
          <w:rStyle w:val="14"/>
          <w:rFonts w:ascii="仿宋" w:hAnsi="仿宋" w:eastAsia="仿宋"/>
          <w:bCs/>
          <w:sz w:val="32"/>
          <w:szCs w:val="32"/>
        </w:rPr>
        <w:t>:</w:t>
      </w:r>
      <w:r>
        <w:rPr>
          <w:rStyle w:val="14"/>
          <w:rFonts w:hint="eastAsia" w:ascii="仿宋" w:hAnsi="仿宋" w:eastAsia="仿宋"/>
          <w:b w:val="0"/>
          <w:bCs/>
          <w:sz w:val="32"/>
          <w:szCs w:val="32"/>
        </w:rPr>
        <w:t>支出决算为</w:t>
      </w:r>
      <w:r>
        <w:rPr>
          <w:rStyle w:val="14"/>
          <w:rFonts w:ascii="仿宋" w:hAnsi="仿宋" w:eastAsia="仿宋"/>
          <w:b w:val="0"/>
          <w:bCs/>
          <w:sz w:val="32"/>
          <w:szCs w:val="32"/>
        </w:rPr>
        <w:t>619.95</w:t>
      </w:r>
      <w:r>
        <w:rPr>
          <w:rStyle w:val="14"/>
          <w:rFonts w:hint="eastAsia" w:ascii="仿宋" w:hAnsi="仿宋" w:eastAsia="仿宋"/>
          <w:b w:val="0"/>
          <w:bCs/>
          <w:sz w:val="32"/>
          <w:szCs w:val="32"/>
        </w:rPr>
        <w:t>万元，完成预算</w:t>
      </w:r>
      <w:r>
        <w:rPr>
          <w:rStyle w:val="14"/>
          <w:rFonts w:ascii="仿宋" w:hAnsi="仿宋" w:eastAsia="仿宋"/>
          <w:b w:val="0"/>
          <w:bCs/>
          <w:sz w:val="32"/>
          <w:szCs w:val="32"/>
        </w:rPr>
        <w:t>100%</w:t>
      </w:r>
      <w:r>
        <w:rPr>
          <w:rStyle w:val="14"/>
          <w:rFonts w:hint="eastAsia" w:ascii="仿宋" w:hAnsi="仿宋" w:eastAsia="仿宋"/>
          <w:b w:val="0"/>
          <w:bCs/>
          <w:sz w:val="32"/>
          <w:szCs w:val="32"/>
        </w:rPr>
        <w:t>。</w:t>
      </w:r>
    </w:p>
    <w:p>
      <w:pPr>
        <w:spacing w:line="600" w:lineRule="exact"/>
        <w:ind w:firstLine="640"/>
        <w:rPr>
          <w:rFonts w:ascii="仿宋" w:hAnsi="仿宋" w:eastAsia="仿宋"/>
          <w:b/>
          <w:sz w:val="32"/>
          <w:szCs w:val="32"/>
        </w:rPr>
      </w:pPr>
    </w:p>
    <w:p>
      <w:pPr>
        <w:tabs>
          <w:tab w:val="right" w:pos="8306"/>
        </w:tabs>
        <w:spacing w:line="600" w:lineRule="exact"/>
        <w:ind w:firstLine="640"/>
        <w:outlineLvl w:val="1"/>
        <w:rPr>
          <w:rStyle w:val="25"/>
        </w:rPr>
      </w:pPr>
      <w:bookmarkStart w:id="53" w:name="_Toc15396608"/>
      <w:bookmarkStart w:id="54" w:name="_Toc15377214"/>
      <w:bookmarkStart w:id="55" w:name="_Toc14205907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5"/>
          <w:rFonts w:hint="eastAsia" w:ascii="黑体" w:hAnsi="黑体" w:eastAsia="黑体"/>
          <w:b w:val="0"/>
        </w:rPr>
        <w:t>般公共预算财政拨款基本支出决算情况说明</w:t>
      </w:r>
      <w:bookmarkEnd w:id="53"/>
      <w:bookmarkEnd w:id="54"/>
      <w:bookmarkEnd w:id="55"/>
      <w:r>
        <w:rPr>
          <w:rStyle w:val="25"/>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22年一般公共预算财政拨款基本支出</w:t>
      </w:r>
      <w:r>
        <w:rPr>
          <w:rFonts w:ascii="仿宋" w:hAnsi="仿宋" w:eastAsia="仿宋"/>
          <w:sz w:val="32"/>
          <w:szCs w:val="32"/>
        </w:rPr>
        <w:t>6235.89</w:t>
      </w:r>
      <w:r>
        <w:rPr>
          <w:rFonts w:hint="eastAsia" w:ascii="仿宋" w:hAnsi="仿宋" w:eastAsia="仿宋"/>
          <w:sz w:val="32"/>
          <w:szCs w:val="32"/>
        </w:rPr>
        <w:t>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ascii="仿宋" w:hAnsi="仿宋" w:eastAsia="仿宋"/>
          <w:sz w:val="32"/>
          <w:szCs w:val="32"/>
        </w:rPr>
        <w:t>6078.41</w:t>
      </w:r>
      <w:r>
        <w:rPr>
          <w:rFonts w:hint="eastAsia" w:ascii="仿宋" w:hAnsi="仿宋" w:eastAsia="仿宋"/>
          <w:sz w:val="32"/>
          <w:szCs w:val="32"/>
        </w:rPr>
        <w:t>万元，主要包括：基本工资、津贴补贴、机关事业单位基本养老保险缴费、职业年金缴费、职工</w:t>
      </w:r>
      <w:r>
        <w:rPr>
          <w:rFonts w:ascii="仿宋" w:hAnsi="仿宋" w:eastAsia="仿宋"/>
          <w:sz w:val="32"/>
          <w:szCs w:val="32"/>
        </w:rPr>
        <w:t>基本医疗保险缴费、</w:t>
      </w:r>
      <w:r>
        <w:rPr>
          <w:rFonts w:hint="eastAsia" w:ascii="仿宋" w:hAnsi="仿宋" w:eastAsia="仿宋"/>
          <w:sz w:val="32"/>
          <w:szCs w:val="32"/>
        </w:rPr>
        <w:t>其他社会保障缴费、离休费、退休费、奖励金、住房公积金、其他对个人和家庭的补助支出等。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sz w:val="32"/>
          <w:szCs w:val="32"/>
        </w:rPr>
        <w:t>157.48</w:t>
      </w:r>
      <w:r>
        <w:rPr>
          <w:rFonts w:hint="eastAsia" w:ascii="仿宋" w:hAnsi="仿宋" w:eastAsia="仿宋"/>
          <w:sz w:val="32"/>
          <w:szCs w:val="32"/>
        </w:rPr>
        <w:t>万元，主要包括：维修（护）费、工会经费、福利费、其他商品和服务支出等。</w:t>
      </w:r>
    </w:p>
    <w:p>
      <w:pPr>
        <w:spacing w:line="600" w:lineRule="exact"/>
        <w:ind w:firstLine="640"/>
        <w:rPr>
          <w:rFonts w:ascii="仿宋" w:hAnsi="仿宋" w:eastAsia="仿宋"/>
          <w:b/>
          <w:sz w:val="32"/>
          <w:szCs w:val="32"/>
        </w:rPr>
      </w:pPr>
    </w:p>
    <w:p>
      <w:pPr>
        <w:spacing w:line="600" w:lineRule="exact"/>
        <w:ind w:firstLine="640"/>
        <w:outlineLvl w:val="1"/>
        <w:rPr>
          <w:rStyle w:val="25"/>
          <w:rFonts w:ascii="黑体" w:hAnsi="黑体" w:eastAsia="黑体"/>
          <w:b w:val="0"/>
        </w:rPr>
      </w:pPr>
      <w:bookmarkStart w:id="56" w:name="_Toc15396609"/>
      <w:bookmarkStart w:id="57" w:name="_Toc15377215"/>
      <w:bookmarkStart w:id="58" w:name="_Toc142059079"/>
      <w:r>
        <w:rPr>
          <w:rFonts w:hint="eastAsia" w:ascii="黑体" w:eastAsia="黑体"/>
          <w:sz w:val="32"/>
          <w:szCs w:val="32"/>
        </w:rPr>
        <w:t>七、</w:t>
      </w:r>
      <w:r>
        <w:rPr>
          <w:rStyle w:val="25"/>
          <w:rFonts w:hint="eastAsia" w:ascii="黑体" w:hAnsi="黑体" w:eastAsia="黑体"/>
          <w:b w:val="0"/>
        </w:rPr>
        <w:t>财政拨款</w:t>
      </w:r>
      <w:r>
        <w:rPr>
          <w:rStyle w:val="25"/>
          <w:rFonts w:hint="eastAsia" w:ascii="黑体" w:hAnsi="黑体" w:eastAsia="黑体"/>
        </w:rPr>
        <w:t>“</w:t>
      </w:r>
      <w:r>
        <w:rPr>
          <w:rStyle w:val="25"/>
          <w:rFonts w:hint="eastAsia" w:ascii="黑体" w:hAnsi="黑体" w:eastAsia="黑体"/>
          <w:b w:val="0"/>
        </w:rPr>
        <w:t>三公”经费支出决算情况说明</w:t>
      </w:r>
      <w:bookmarkEnd w:id="56"/>
      <w:bookmarkEnd w:id="57"/>
      <w:bookmarkEnd w:id="58"/>
    </w:p>
    <w:p>
      <w:pPr>
        <w:spacing w:line="600" w:lineRule="exact"/>
        <w:ind w:firstLine="640"/>
        <w:outlineLvl w:val="2"/>
        <w:rPr>
          <w:rFonts w:ascii="仿宋" w:hAnsi="仿宋" w:eastAsia="仿宋"/>
          <w:b/>
          <w:sz w:val="32"/>
          <w:szCs w:val="32"/>
        </w:rPr>
      </w:pPr>
      <w:bookmarkStart w:id="59" w:name="_Toc15377216"/>
      <w:bookmarkStart w:id="60" w:name="_Toc142059080"/>
      <w:r>
        <w:rPr>
          <w:rFonts w:hint="eastAsia" w:ascii="仿宋" w:hAnsi="仿宋" w:eastAsia="仿宋"/>
          <w:b/>
          <w:sz w:val="32"/>
          <w:szCs w:val="32"/>
        </w:rPr>
        <w:t>（一）“三公”经费财政拨款支出决算总体情况说明</w:t>
      </w:r>
      <w:bookmarkEnd w:id="59"/>
      <w:bookmarkEnd w:id="60"/>
    </w:p>
    <w:p>
      <w:pPr>
        <w:spacing w:line="600" w:lineRule="exact"/>
        <w:ind w:firstLine="640"/>
        <w:rPr>
          <w:rFonts w:ascii="仿宋" w:hAnsi="仿宋" w:eastAsia="仿宋"/>
          <w:sz w:val="32"/>
          <w:szCs w:val="32"/>
        </w:rPr>
      </w:pPr>
      <w:r>
        <w:rPr>
          <w:rFonts w:hint="eastAsia" w:ascii="仿宋" w:hAnsi="仿宋" w:eastAsia="仿宋"/>
          <w:sz w:val="32"/>
          <w:szCs w:val="32"/>
        </w:rPr>
        <w:t>本单位为事业单位，无三公经费。202</w:t>
      </w:r>
      <w:r>
        <w:rPr>
          <w:rFonts w:ascii="仿宋" w:hAnsi="仿宋" w:eastAsia="仿宋"/>
          <w:sz w:val="32"/>
          <w:szCs w:val="32"/>
        </w:rPr>
        <w:t>1</w:t>
      </w:r>
      <w:r>
        <w:rPr>
          <w:rFonts w:hint="eastAsia" w:ascii="仿宋" w:hAnsi="仿宋" w:eastAsia="仿宋"/>
          <w:sz w:val="32"/>
          <w:szCs w:val="32"/>
        </w:rPr>
        <w:t>年三公经费为0，202</w:t>
      </w:r>
      <w:r>
        <w:rPr>
          <w:rFonts w:ascii="仿宋" w:hAnsi="仿宋" w:eastAsia="仿宋"/>
          <w:sz w:val="32"/>
          <w:szCs w:val="32"/>
        </w:rPr>
        <w:t>2</w:t>
      </w:r>
      <w:r>
        <w:rPr>
          <w:rFonts w:hint="eastAsia" w:ascii="仿宋" w:hAnsi="仿宋" w:eastAsia="仿宋"/>
          <w:sz w:val="32"/>
          <w:szCs w:val="32"/>
        </w:rPr>
        <w:t>年三公经费预算为0，</w:t>
      </w:r>
      <w:r>
        <w:rPr>
          <w:rFonts w:ascii="仿宋" w:hAnsi="仿宋" w:eastAsia="仿宋"/>
          <w:sz w:val="32"/>
          <w:szCs w:val="32"/>
        </w:rPr>
        <w:t>决算为</w:t>
      </w:r>
      <w:r>
        <w:rPr>
          <w:rFonts w:hint="eastAsia" w:ascii="仿宋" w:hAnsi="仿宋" w:eastAsia="仿宋"/>
          <w:sz w:val="32"/>
          <w:szCs w:val="32"/>
        </w:rPr>
        <w:t>0，与上年度一致，与上年度相比无增减变化。</w:t>
      </w:r>
    </w:p>
    <w:p>
      <w:pPr>
        <w:spacing w:line="600" w:lineRule="exact"/>
        <w:ind w:firstLine="640"/>
        <w:outlineLvl w:val="1"/>
        <w:rPr>
          <w:rFonts w:ascii="黑体" w:eastAsia="黑体"/>
          <w:sz w:val="32"/>
          <w:szCs w:val="32"/>
        </w:rPr>
      </w:pPr>
      <w:bookmarkStart w:id="61" w:name="_Toc15396610"/>
      <w:bookmarkStart w:id="62" w:name="_Toc15377218"/>
    </w:p>
    <w:p>
      <w:pPr>
        <w:spacing w:line="600" w:lineRule="exact"/>
        <w:ind w:firstLine="640"/>
        <w:outlineLvl w:val="1"/>
        <w:rPr>
          <w:rStyle w:val="25"/>
          <w:rFonts w:ascii="黑体" w:hAnsi="黑体" w:eastAsia="黑体"/>
        </w:rPr>
      </w:pPr>
      <w:bookmarkStart w:id="63" w:name="_Toc142059082"/>
      <w:r>
        <w:rPr>
          <w:rFonts w:hint="eastAsia" w:ascii="黑体" w:eastAsia="黑体"/>
          <w:sz w:val="32"/>
          <w:szCs w:val="32"/>
        </w:rPr>
        <w:t>八、</w:t>
      </w:r>
      <w:r>
        <w:rPr>
          <w:rStyle w:val="25"/>
          <w:rFonts w:hint="eastAsia" w:ascii="黑体" w:hAnsi="黑体" w:eastAsia="黑体"/>
          <w:b w:val="0"/>
        </w:rPr>
        <w:t>政府性基金预算支出决算情况说明</w:t>
      </w:r>
      <w:bookmarkEnd w:id="61"/>
      <w:bookmarkEnd w:id="62"/>
      <w:bookmarkEnd w:id="63"/>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22年政府性基金预算财政拨款支出</w:t>
      </w:r>
      <w:r>
        <w:rPr>
          <w:rFonts w:ascii="仿宋_GB2312" w:eastAsia="仿宋_GB2312"/>
          <w:sz w:val="32"/>
          <w:szCs w:val="32"/>
        </w:rPr>
        <w:t>0</w:t>
      </w:r>
      <w:r>
        <w:rPr>
          <w:rFonts w:hint="eastAsia" w:ascii="仿宋_GB2312" w:eastAsia="仿宋_GB2312"/>
          <w:sz w:val="32"/>
          <w:szCs w:val="32"/>
        </w:rPr>
        <w:t>万元。</w:t>
      </w:r>
    </w:p>
    <w:p>
      <w:pPr>
        <w:spacing w:line="600" w:lineRule="exact"/>
        <w:ind w:firstLine="640"/>
        <w:rPr>
          <w:rFonts w:ascii="仿宋_GB2312" w:eastAsia="仿宋_GB2312"/>
          <w:sz w:val="32"/>
          <w:szCs w:val="32"/>
        </w:rPr>
      </w:pPr>
    </w:p>
    <w:p>
      <w:pPr>
        <w:numPr>
          <w:ilvl w:val="0"/>
          <w:numId w:val="3"/>
        </w:numPr>
        <w:spacing w:line="600" w:lineRule="exact"/>
        <w:ind w:firstLine="640"/>
        <w:outlineLvl w:val="1"/>
        <w:rPr>
          <w:rStyle w:val="25"/>
          <w:rFonts w:ascii="黑体" w:hAnsi="黑体" w:eastAsia="黑体"/>
          <w:b w:val="0"/>
        </w:rPr>
      </w:pPr>
      <w:bookmarkStart w:id="64" w:name="_Toc15396611"/>
      <w:bookmarkStart w:id="65" w:name="_Toc15377219"/>
      <w:bookmarkStart w:id="66" w:name="_Toc142059083"/>
      <w:r>
        <w:rPr>
          <w:rStyle w:val="25"/>
          <w:rFonts w:hint="eastAsia" w:ascii="黑体" w:hAnsi="黑体" w:eastAsia="黑体"/>
          <w:b w:val="0"/>
        </w:rPr>
        <w:t>国有资本经营预算支出决算情况说明</w:t>
      </w:r>
      <w:bookmarkEnd w:id="64"/>
      <w:bookmarkEnd w:id="65"/>
      <w:bookmarkEnd w:id="66"/>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22年国有资本经营预算财政拨款支出</w:t>
      </w:r>
      <w:r>
        <w:rPr>
          <w:rFonts w:ascii="仿宋_GB2312" w:eastAsia="仿宋_GB2312"/>
          <w:sz w:val="32"/>
          <w:szCs w:val="32"/>
        </w:rPr>
        <w:t>0</w:t>
      </w:r>
      <w:r>
        <w:rPr>
          <w:rFonts w:hint="eastAsia" w:ascii="仿宋_GB2312" w:eastAsia="仿宋_GB2312"/>
          <w:sz w:val="32"/>
          <w:szCs w:val="32"/>
        </w:rPr>
        <w:t>万元。</w:t>
      </w:r>
    </w:p>
    <w:p>
      <w:pPr>
        <w:spacing w:line="580" w:lineRule="exact"/>
        <w:jc w:val="center"/>
        <w:rPr>
          <w:rFonts w:ascii="方正小标宋简体" w:hAnsi="方正小标宋简体" w:eastAsia="方正小标宋简体" w:cs="方正小标宋简体"/>
          <w:sz w:val="44"/>
          <w:szCs w:val="44"/>
        </w:rPr>
      </w:pPr>
    </w:p>
    <w:p>
      <w:pPr>
        <w:numPr>
          <w:ilvl w:val="0"/>
          <w:numId w:val="3"/>
        </w:numPr>
        <w:spacing w:line="600" w:lineRule="exact"/>
        <w:ind w:firstLine="640"/>
        <w:outlineLvl w:val="1"/>
        <w:rPr>
          <w:rStyle w:val="25"/>
          <w:rFonts w:ascii="黑体" w:hAnsi="黑体" w:eastAsia="黑体"/>
          <w:b w:val="0"/>
        </w:rPr>
      </w:pPr>
      <w:bookmarkStart w:id="67" w:name="_Toc15377221"/>
      <w:bookmarkStart w:id="68" w:name="_Toc15396612"/>
      <w:bookmarkStart w:id="69" w:name="_Toc142059084"/>
      <w:r>
        <w:rPr>
          <w:rStyle w:val="25"/>
          <w:rFonts w:hint="eastAsia" w:ascii="黑体" w:hAnsi="黑体" w:eastAsia="黑体"/>
          <w:b w:val="0"/>
        </w:rPr>
        <w:t>其他重要事项的情况说明</w:t>
      </w:r>
      <w:bookmarkEnd w:id="67"/>
      <w:bookmarkEnd w:id="68"/>
      <w:bookmarkEnd w:id="69"/>
    </w:p>
    <w:p>
      <w:pPr>
        <w:spacing w:line="600" w:lineRule="exact"/>
        <w:ind w:firstLine="643" w:firstLineChars="200"/>
        <w:outlineLvl w:val="2"/>
        <w:rPr>
          <w:rFonts w:ascii="仿宋" w:hAnsi="仿宋" w:eastAsia="仿宋"/>
          <w:sz w:val="32"/>
          <w:szCs w:val="32"/>
        </w:rPr>
      </w:pPr>
      <w:bookmarkStart w:id="70" w:name="_Toc15377222"/>
      <w:bookmarkStart w:id="71" w:name="_Toc142059085"/>
      <w:r>
        <w:rPr>
          <w:rFonts w:hint="eastAsia" w:ascii="仿宋" w:hAnsi="仿宋" w:eastAsia="仿宋"/>
          <w:b/>
          <w:sz w:val="32"/>
          <w:szCs w:val="32"/>
        </w:rPr>
        <w:t>（一）机关运行经费支出情况</w:t>
      </w:r>
      <w:bookmarkEnd w:id="70"/>
      <w:bookmarkEnd w:id="71"/>
    </w:p>
    <w:p>
      <w:pPr>
        <w:ind w:firstLine="640" w:firstLineChars="200"/>
        <w:rPr>
          <w:rFonts w:ascii="仿宋" w:hAnsi="仿宋" w:eastAsia="仿宋"/>
          <w:sz w:val="32"/>
          <w:szCs w:val="32"/>
        </w:rPr>
      </w:pPr>
      <w:r>
        <w:rPr>
          <w:rFonts w:ascii="仿宋_GB2312" w:eastAsia="仿宋_GB2312"/>
          <w:sz w:val="32"/>
          <w:szCs w:val="32"/>
        </w:rPr>
        <w:t>20</w:t>
      </w:r>
      <w:r>
        <w:rPr>
          <w:rFonts w:hint="eastAsia" w:ascii="仿宋_GB2312" w:eastAsia="仿宋_GB2312"/>
          <w:sz w:val="32"/>
          <w:szCs w:val="32"/>
        </w:rPr>
        <w:t>22年</w:t>
      </w:r>
      <w:r>
        <w:rPr>
          <w:rFonts w:hint="eastAsia" w:ascii="仿宋" w:hAnsi="仿宋" w:eastAsia="仿宋"/>
          <w:sz w:val="32"/>
          <w:szCs w:val="32"/>
        </w:rPr>
        <w:t>本单位不涉及。</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72" w:name="_Toc15377223"/>
      <w:bookmarkStart w:id="73" w:name="_Toc142059086"/>
      <w:r>
        <w:rPr>
          <w:rFonts w:hint="eastAsia" w:ascii="仿宋" w:hAnsi="仿宋" w:eastAsia="仿宋"/>
          <w:b/>
          <w:sz w:val="32"/>
          <w:szCs w:val="32"/>
        </w:rPr>
        <w:t>（二）政府采购支出情况</w:t>
      </w:r>
      <w:bookmarkEnd w:id="72"/>
      <w:bookmarkEnd w:id="73"/>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22年，本单位政府采购支出总额</w:t>
      </w:r>
      <w:r>
        <w:rPr>
          <w:rFonts w:ascii="仿宋_GB2312" w:eastAsia="仿宋_GB2312"/>
          <w:sz w:val="32"/>
          <w:szCs w:val="32"/>
        </w:rPr>
        <w:t>200.0</w:t>
      </w:r>
      <w:r>
        <w:rPr>
          <w:rFonts w:hint="eastAsia" w:ascii="仿宋_GB2312" w:eastAsia="仿宋_GB2312"/>
          <w:sz w:val="32"/>
          <w:szCs w:val="32"/>
          <w:lang w:val="en-US" w:eastAsia="zh-CN"/>
        </w:rPr>
        <w:t>2</w:t>
      </w:r>
      <w:r>
        <w:rPr>
          <w:rFonts w:hint="eastAsia" w:ascii="仿宋_GB2312" w:eastAsia="仿宋_GB2312"/>
          <w:sz w:val="32"/>
          <w:szCs w:val="32"/>
        </w:rPr>
        <w:t>万元，其中：政府采购货物支出</w:t>
      </w:r>
      <w:r>
        <w:rPr>
          <w:rFonts w:ascii="仿宋_GB2312" w:eastAsia="仿宋_GB2312"/>
          <w:sz w:val="32"/>
          <w:szCs w:val="32"/>
        </w:rPr>
        <w:t>200.0</w:t>
      </w:r>
      <w:r>
        <w:rPr>
          <w:rFonts w:hint="eastAsia" w:ascii="仿宋_GB2312" w:eastAsia="仿宋_GB2312"/>
          <w:sz w:val="32"/>
          <w:szCs w:val="32"/>
          <w:lang w:val="en-US" w:eastAsia="zh-CN"/>
        </w:rPr>
        <w:t>2</w:t>
      </w:r>
      <w:r>
        <w:rPr>
          <w:rFonts w:hint="eastAsia" w:ascii="仿宋_GB2312" w:eastAsia="仿宋_GB2312"/>
          <w:sz w:val="32"/>
          <w:szCs w:val="32"/>
        </w:rPr>
        <w:t>万元。主要用于按合同</w:t>
      </w:r>
      <w:r>
        <w:rPr>
          <w:rFonts w:ascii="仿宋_GB2312" w:eastAsia="仿宋_GB2312"/>
          <w:sz w:val="32"/>
          <w:szCs w:val="32"/>
        </w:rPr>
        <w:t>规定</w:t>
      </w:r>
      <w:r>
        <w:rPr>
          <w:rFonts w:hint="eastAsia" w:ascii="仿宋_GB2312" w:eastAsia="仿宋_GB2312"/>
          <w:sz w:val="32"/>
          <w:szCs w:val="32"/>
        </w:rPr>
        <w:t>支付2020年地勘能力</w:t>
      </w:r>
      <w:r>
        <w:rPr>
          <w:rFonts w:ascii="仿宋_GB2312" w:eastAsia="仿宋_GB2312"/>
          <w:sz w:val="32"/>
          <w:szCs w:val="32"/>
        </w:rPr>
        <w:t>提升项目</w:t>
      </w:r>
      <w:r>
        <w:rPr>
          <w:rFonts w:hint="eastAsia" w:ascii="仿宋_GB2312" w:eastAsia="仿宋_GB2312"/>
          <w:sz w:val="32"/>
          <w:szCs w:val="32"/>
        </w:rPr>
        <w:t>的10</w:t>
      </w:r>
      <w:r>
        <w:rPr>
          <w:rFonts w:ascii="仿宋_GB2312" w:eastAsia="仿宋_GB2312"/>
          <w:sz w:val="32"/>
          <w:szCs w:val="32"/>
        </w:rPr>
        <w:t>%设备款</w:t>
      </w:r>
      <w:r>
        <w:rPr>
          <w:rFonts w:hint="eastAsia" w:ascii="仿宋_GB2312" w:eastAsia="仿宋_GB2312"/>
          <w:sz w:val="32"/>
          <w:szCs w:val="32"/>
        </w:rPr>
        <w:t>，通过购置国内技术先进、性价比较高的钻探设备（ZJ40及配套设备），进一步拓展地热能产业业务范围，提高地热能产业核心竞争力，提升地勘发展能力。授予中小企业合同金额</w:t>
      </w:r>
      <w:r>
        <w:rPr>
          <w:rFonts w:ascii="仿宋_GB2312" w:eastAsia="仿宋_GB2312"/>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，其中：授予小微企业合同金额</w:t>
      </w:r>
      <w:r>
        <w:rPr>
          <w:rFonts w:ascii="仿宋_GB2312" w:eastAsia="仿宋_GB2312"/>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74" w:name="_Toc142059087"/>
      <w:bookmarkStart w:id="75" w:name="_Toc15377224"/>
      <w:r>
        <w:rPr>
          <w:rFonts w:hint="eastAsia" w:ascii="仿宋" w:hAnsi="仿宋" w:eastAsia="仿宋"/>
          <w:b/>
          <w:sz w:val="32"/>
          <w:szCs w:val="32"/>
        </w:rPr>
        <w:t>（三）国有资产占有使用情况</w:t>
      </w:r>
      <w:bookmarkEnd w:id="74"/>
      <w:bookmarkEnd w:id="75"/>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日，本单位共有车辆</w:t>
      </w:r>
      <w:r>
        <w:rPr>
          <w:rFonts w:ascii="仿宋_GB2312" w:eastAsia="仿宋_GB2312"/>
          <w:sz w:val="32"/>
          <w:szCs w:val="32"/>
        </w:rPr>
        <w:t>4</w:t>
      </w:r>
      <w:r>
        <w:rPr>
          <w:rFonts w:hint="eastAsia" w:ascii="仿宋_GB2312" w:eastAsia="仿宋_GB2312"/>
          <w:sz w:val="32"/>
          <w:szCs w:val="32"/>
        </w:rPr>
        <w:t>辆，其中：其他用车</w:t>
      </w:r>
      <w:r>
        <w:rPr>
          <w:rFonts w:ascii="仿宋_GB2312" w:eastAsia="仿宋_GB2312"/>
          <w:sz w:val="32"/>
          <w:szCs w:val="32"/>
        </w:rPr>
        <w:t>4</w:t>
      </w:r>
      <w:r>
        <w:rPr>
          <w:rFonts w:hint="eastAsia" w:ascii="仿宋_GB2312" w:eastAsia="仿宋_GB2312"/>
          <w:sz w:val="32"/>
          <w:szCs w:val="32"/>
        </w:rPr>
        <w:t>辆，其他用车主要是用于</w:t>
      </w:r>
      <w:r>
        <w:rPr>
          <w:rFonts w:hint="eastAsia" w:ascii="仿宋" w:hAnsi="仿宋" w:eastAsia="仿宋"/>
          <w:sz w:val="32"/>
          <w:szCs w:val="32"/>
        </w:rPr>
        <w:t>单位生产方面</w:t>
      </w:r>
      <w:r>
        <w:rPr>
          <w:rFonts w:hint="eastAsia" w:ascii="仿宋_GB2312" w:eastAsia="仿宋_GB2312"/>
          <w:sz w:val="32"/>
          <w:szCs w:val="32"/>
        </w:rPr>
        <w:t>。单价</w:t>
      </w:r>
      <w:r>
        <w:rPr>
          <w:rFonts w:ascii="仿宋_GB2312" w:eastAsia="仿宋_GB2312"/>
          <w:sz w:val="32"/>
          <w:szCs w:val="32"/>
        </w:rPr>
        <w:t>50</w:t>
      </w:r>
      <w:r>
        <w:rPr>
          <w:rFonts w:hint="eastAsia" w:ascii="仿宋_GB2312" w:eastAsia="仿宋_GB2312"/>
          <w:sz w:val="32"/>
          <w:szCs w:val="32"/>
        </w:rPr>
        <w:t>万元（含）以上的通用设备</w:t>
      </w:r>
      <w:r>
        <w:rPr>
          <w:rFonts w:ascii="仿宋_GB2312" w:eastAsia="仿宋_GB2312"/>
          <w:sz w:val="32"/>
          <w:szCs w:val="32"/>
        </w:rPr>
        <w:t>6</w:t>
      </w:r>
      <w:r>
        <w:rPr>
          <w:rFonts w:hint="eastAsia" w:ascii="仿宋_GB2312" w:eastAsia="仿宋_GB2312"/>
          <w:sz w:val="32"/>
          <w:szCs w:val="32"/>
        </w:rPr>
        <w:t>台（套），单价</w:t>
      </w:r>
      <w:r>
        <w:rPr>
          <w:rFonts w:ascii="仿宋_GB2312" w:eastAsia="仿宋_GB2312"/>
          <w:sz w:val="32"/>
          <w:szCs w:val="32"/>
        </w:rPr>
        <w:t>100</w:t>
      </w:r>
      <w:r>
        <w:rPr>
          <w:rFonts w:hint="eastAsia" w:ascii="仿宋_GB2312" w:eastAsia="仿宋_GB2312"/>
          <w:sz w:val="32"/>
          <w:szCs w:val="32"/>
        </w:rPr>
        <w:t>万元（含）</w:t>
      </w:r>
      <w:bookmarkStart w:id="111" w:name="_GoBack"/>
      <w:bookmarkEnd w:id="111"/>
      <w:r>
        <w:rPr>
          <w:rFonts w:hint="eastAsia" w:ascii="仿宋_GB2312" w:eastAsia="仿宋_GB2312"/>
          <w:sz w:val="32"/>
          <w:szCs w:val="32"/>
        </w:rPr>
        <w:t>以上设备（不含车辆）</w:t>
      </w:r>
      <w:r>
        <w:rPr>
          <w:rFonts w:hint="eastAsia" w:ascii="仿宋_GB2312" w:eastAsia="仿宋_GB2312"/>
          <w:sz w:val="32"/>
          <w:szCs w:val="32"/>
          <w:lang w:val="en-US" w:eastAsia="zh-CN"/>
        </w:rPr>
        <w:t>10</w:t>
      </w:r>
      <w:r>
        <w:rPr>
          <w:rFonts w:hint="eastAsia" w:ascii="仿宋_GB2312" w:eastAsia="仿宋_GB2312"/>
          <w:sz w:val="32"/>
          <w:szCs w:val="32"/>
        </w:rPr>
        <w:t>台（套）。</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76" w:name="_Toc142059088"/>
      <w:r>
        <w:rPr>
          <w:rFonts w:hint="eastAsia" w:ascii="仿宋" w:hAnsi="仿宋" w:eastAsia="仿宋"/>
          <w:b/>
          <w:sz w:val="32"/>
          <w:szCs w:val="32"/>
        </w:rPr>
        <w:t>（四）预算绩效管理情况</w:t>
      </w:r>
      <w:bookmarkEnd w:id="76"/>
    </w:p>
    <w:p>
      <w:pPr>
        <w:pStyle w:val="2"/>
        <w:spacing w:before="93"/>
        <w:ind w:firstLine="640" w:firstLineChars="200"/>
        <w:rPr>
          <w:rFonts w:ascii="仿宋" w:hAnsi="仿宋" w:eastAsia="仿宋"/>
          <w:kern w:val="2"/>
          <w:sz w:val="32"/>
          <w:szCs w:val="32"/>
        </w:rPr>
      </w:pPr>
      <w:r>
        <w:rPr>
          <w:rFonts w:ascii="仿宋" w:hAnsi="仿宋" w:eastAsia="仿宋"/>
          <w:kern w:val="2"/>
          <w:sz w:val="32"/>
          <w:szCs w:val="32"/>
        </w:rPr>
        <w:t>根据预算绩效管理要求，本单位在2022年度预算编制阶段，组织对基于三维GIS的地质灾害多源数据融合管理平台研发1个项目开展了预算事前绩效评估，对11个项目编制了绩效目标，预算执行过程中，对11个项目开展绩效监控，组织对11个项目开展绩效自评，绩效自评表详见第四部分附件。</w:t>
      </w:r>
    </w:p>
    <w:p>
      <w:pPr>
        <w:pStyle w:val="2"/>
        <w:spacing w:before="93"/>
        <w:ind w:firstLine="640" w:firstLineChars="200"/>
        <w:rPr>
          <w:rFonts w:hAnsi="仿宋_GB2312" w:cs="仿宋_GB2312"/>
          <w:sz w:val="32"/>
          <w:szCs w:val="32"/>
        </w:rPr>
      </w:pPr>
    </w:p>
    <w:p>
      <w:pPr>
        <w:pStyle w:val="2"/>
        <w:spacing w:before="93"/>
        <w:rPr>
          <w:rFonts w:hAnsi="仿宋_GB2312" w:cs="仿宋_GB2312"/>
          <w:sz w:val="32"/>
          <w:szCs w:val="32"/>
        </w:rPr>
      </w:pPr>
    </w:p>
    <w:p>
      <w:pPr>
        <w:pStyle w:val="2"/>
        <w:spacing w:before="93"/>
        <w:ind w:firstLine="640" w:firstLineChars="200"/>
        <w:rPr>
          <w:rFonts w:hAnsi="仿宋_GB2312" w:cs="仿宋_GB2312"/>
          <w:sz w:val="32"/>
          <w:szCs w:val="32"/>
        </w:rPr>
      </w:pPr>
    </w:p>
    <w:p>
      <w:pPr>
        <w:pStyle w:val="2"/>
        <w:spacing w:before="93"/>
        <w:ind w:firstLine="640" w:firstLineChars="200"/>
        <w:rPr>
          <w:rFonts w:hAnsi="仿宋_GB2312" w:cs="仿宋_GB2312"/>
          <w:sz w:val="32"/>
          <w:szCs w:val="32"/>
        </w:rPr>
      </w:pPr>
    </w:p>
    <w:p>
      <w:pPr>
        <w:pStyle w:val="2"/>
        <w:spacing w:before="93"/>
        <w:ind w:firstLine="640" w:firstLineChars="200"/>
        <w:rPr>
          <w:rFonts w:hAnsi="仿宋_GB2312" w:cs="仿宋_GB2312"/>
          <w:sz w:val="32"/>
          <w:szCs w:val="32"/>
        </w:rPr>
      </w:pPr>
    </w:p>
    <w:p>
      <w:pPr>
        <w:pStyle w:val="2"/>
        <w:spacing w:before="93"/>
        <w:ind w:firstLine="640" w:firstLineChars="200"/>
        <w:rPr>
          <w:rFonts w:hAnsi="仿宋_GB2312" w:cs="仿宋_GB2312"/>
          <w:sz w:val="32"/>
          <w:szCs w:val="32"/>
        </w:rPr>
      </w:pPr>
    </w:p>
    <w:p>
      <w:pPr>
        <w:pStyle w:val="2"/>
        <w:spacing w:before="93"/>
        <w:ind w:firstLine="640" w:firstLineChars="200"/>
        <w:rPr>
          <w:rFonts w:hAnsi="仿宋_GB2312" w:cs="仿宋_GB2312"/>
          <w:sz w:val="32"/>
          <w:szCs w:val="32"/>
        </w:rPr>
      </w:pPr>
    </w:p>
    <w:p>
      <w:pPr>
        <w:pStyle w:val="2"/>
        <w:spacing w:before="93"/>
        <w:ind w:firstLine="640" w:firstLineChars="200"/>
        <w:rPr>
          <w:rFonts w:hAnsi="仿宋_GB2312" w:cs="仿宋_GB2312"/>
          <w:sz w:val="32"/>
          <w:szCs w:val="32"/>
        </w:rPr>
      </w:pPr>
    </w:p>
    <w:p>
      <w:pPr>
        <w:pStyle w:val="2"/>
        <w:spacing w:before="93"/>
        <w:ind w:firstLine="640" w:firstLineChars="200"/>
        <w:rPr>
          <w:rFonts w:hAnsi="仿宋_GB2312" w:cs="仿宋_GB2312"/>
          <w:sz w:val="32"/>
          <w:szCs w:val="32"/>
        </w:rPr>
      </w:pPr>
    </w:p>
    <w:p>
      <w:pPr>
        <w:pStyle w:val="2"/>
        <w:spacing w:before="93"/>
        <w:ind w:firstLine="600" w:firstLineChars="200"/>
      </w:pPr>
    </w:p>
    <w:p>
      <w:pPr>
        <w:numPr>
          <w:ilvl w:val="0"/>
          <w:numId w:val="4"/>
        </w:numPr>
        <w:spacing w:line="600" w:lineRule="exact"/>
        <w:ind w:firstLine="660" w:firstLineChars="150"/>
        <w:jc w:val="center"/>
        <w:outlineLvl w:val="0"/>
        <w:rPr>
          <w:rStyle w:val="24"/>
          <w:rFonts w:ascii="黑体" w:hAnsi="黑体" w:eastAsia="黑体"/>
          <w:b w:val="0"/>
        </w:rPr>
      </w:pPr>
      <w:bookmarkStart w:id="77" w:name="_Toc15377225"/>
      <w:bookmarkStart w:id="78" w:name="_Toc15396613"/>
      <w:bookmarkStart w:id="79" w:name="_Toc142059089"/>
      <w:r>
        <w:rPr>
          <w:rFonts w:hint="eastAsia" w:ascii="黑体" w:hAnsi="黑体" w:eastAsia="黑体"/>
          <w:sz w:val="44"/>
          <w:szCs w:val="44"/>
        </w:rPr>
        <w:t>名</w:t>
      </w:r>
      <w:r>
        <w:rPr>
          <w:rStyle w:val="24"/>
          <w:rFonts w:hint="eastAsia" w:ascii="黑体" w:hAnsi="黑体" w:eastAsia="黑体"/>
          <w:b w:val="0"/>
        </w:rPr>
        <w:t>词解释</w:t>
      </w:r>
      <w:bookmarkEnd w:id="77"/>
      <w:bookmarkEnd w:id="78"/>
      <w:bookmarkEnd w:id="79"/>
    </w:p>
    <w:p>
      <w:pPr>
        <w:spacing w:line="600" w:lineRule="exact"/>
        <w:jc w:val="left"/>
        <w:rPr>
          <w:rFonts w:ascii="宋体"/>
          <w:b/>
          <w:sz w:val="44"/>
          <w:szCs w:val="44"/>
        </w:rPr>
      </w:pPr>
    </w:p>
    <w:p>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 xml:space="preserve"> 经营收入：指事业单位在专业业务活动及其辅助活动之外开展非独立核算经营活动取得的收入。</w:t>
      </w:r>
    </w:p>
    <w:p>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 xml:space="preserve"> 其他收入：指单位取得的除上述收入以外的各项收入。</w:t>
      </w:r>
    </w:p>
    <w:p>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 xml:space="preserve"> 使用非财政拨款结余：指事业单位使用以前年度积累的非财政拨款结余弥补当年收支差额的金额。</w:t>
      </w:r>
      <w:r>
        <w:rPr>
          <w:rFonts w:ascii="仿宋_GB2312" w:eastAsia="仿宋_GB2312"/>
          <w:color w:val="auto"/>
          <w:sz w:val="32"/>
          <w:szCs w:val="32"/>
        </w:rPr>
        <w:t xml:space="preserve"> </w:t>
      </w:r>
    </w:p>
    <w:p>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color w:val="auto"/>
          <w:sz w:val="32"/>
          <w:szCs w:val="32"/>
        </w:rPr>
        <w:t xml:space="preserve"> 科学技术（类）科技重大项目（款）重点研发计划（项）：指用于重点研发计划的有关经费支出。</w:t>
      </w:r>
      <w:r>
        <w:rPr>
          <w:rFonts w:ascii="仿宋_GB2312" w:eastAsia="仿宋_GB2312"/>
          <w:color w:val="auto"/>
          <w:sz w:val="32"/>
          <w:szCs w:val="32"/>
        </w:rPr>
        <w:t xml:space="preserve"> </w:t>
      </w:r>
    </w:p>
    <w:p>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 xml:space="preserve"> 社会保障和就业（类）行政事业单位养老支出（款）事业单位离退休（项）：指反映事业单位开支的离退休经费。</w:t>
      </w:r>
      <w:r>
        <w:rPr>
          <w:rFonts w:ascii="仿宋_GB2312" w:eastAsia="仿宋_GB2312"/>
          <w:color w:val="auto"/>
          <w:sz w:val="32"/>
          <w:szCs w:val="32"/>
        </w:rPr>
        <w:t xml:space="preserve"> </w:t>
      </w:r>
    </w:p>
    <w:p>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 xml:space="preserve"> 社会保障和就业（类）行政事业单位养老支出（款）机关事业单位基本养老保险缴费（项）：指反映机关事业单位实施养老保险制度由单位缴纳的基本养老保险费支出。</w:t>
      </w:r>
    </w:p>
    <w:p>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 社会保障和就业（类）行政事业单位养老支出（款）机关事业单位职业年金缴费（项）:指反映机关事业单位实施养老保险制度由单位实际缴纳的职业年金支出。</w:t>
      </w:r>
    </w:p>
    <w:p>
      <w:pPr>
        <w:ind w:firstLine="640" w:firstLineChars="200"/>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 xml:space="preserve"> 卫生健康（类）行政事业单位医疗（款）事业单位医疗（项）：指反映财政部门安排的事业单位基本医疗保险缴费经费，未参加医疗保险的事业单位的公费医疗经费，按国家规定享受离休人员待遇的医疗经费。</w:t>
      </w:r>
    </w:p>
    <w:p>
      <w:pPr>
        <w:ind w:firstLine="640" w:firstLineChars="200"/>
        <w:rPr>
          <w:rFonts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 xml:space="preserve"> 资源勘探工业信息等（类）资源勘探开发（款）其他资源勘探业（项）：指反映除上述项目以外其他用于资源勘探业方面的支出。</w:t>
      </w:r>
    </w:p>
    <w:p>
      <w:pPr>
        <w:ind w:firstLine="640" w:firstLineChars="200"/>
        <w:rPr>
          <w:rFonts w:ascii="仿宋_GB2312" w:eastAsia="仿宋_GB2312"/>
          <w:sz w:val="32"/>
          <w:szCs w:val="32"/>
        </w:rPr>
      </w:pPr>
      <w:r>
        <w:rPr>
          <w:rFonts w:ascii="仿宋_GB2312" w:eastAsia="仿宋_GB2312"/>
          <w:sz w:val="32"/>
          <w:szCs w:val="32"/>
        </w:rPr>
        <w:t>11.</w:t>
      </w:r>
      <w:r>
        <w:rPr>
          <w:rFonts w:hint="eastAsia" w:ascii="仿宋_GB2312" w:eastAsia="仿宋_GB2312"/>
          <w:sz w:val="32"/>
          <w:szCs w:val="32"/>
        </w:rPr>
        <w:t xml:space="preserve"> 住房保障支出（类）住房改革支出（款）住房公积金（项）:指反映行政事业单位按人力资源和社会保障部、财政部规定的基本工资和津贴补贴以及规定比例为职工缴纳的住房公积金。</w:t>
      </w:r>
    </w:p>
    <w:p>
      <w:pPr>
        <w:ind w:firstLine="640" w:firstLineChars="200"/>
        <w:rPr>
          <w:rFonts w:ascii="仿宋_GB2312" w:eastAsia="仿宋_GB2312"/>
          <w:sz w:val="32"/>
          <w:szCs w:val="32"/>
        </w:rPr>
      </w:pPr>
      <w:r>
        <w:rPr>
          <w:rFonts w:ascii="仿宋_GB2312" w:eastAsia="仿宋_GB2312"/>
          <w:sz w:val="32"/>
          <w:szCs w:val="32"/>
        </w:rPr>
        <w:t>12.</w:t>
      </w:r>
      <w:r>
        <w:rPr>
          <w:rFonts w:hint="eastAsia" w:ascii="仿宋_GB2312" w:eastAsia="仿宋_GB2312"/>
          <w:sz w:val="32"/>
          <w:szCs w:val="32"/>
        </w:rPr>
        <w:t xml:space="preserve"> 住房保障支出（类）住房改革支出（款）购房补贴（项）：指反映按房改政策规定，行政事业单位向符合条件职工（含离退休人员）发放的用于购买住房的补贴。</w:t>
      </w:r>
    </w:p>
    <w:p>
      <w:pPr>
        <w:ind w:firstLine="640" w:firstLineChars="200"/>
        <w:rPr>
          <w:rFonts w:ascii="仿宋_GB2312" w:eastAsia="仿宋_GB2312"/>
          <w:sz w:val="32"/>
          <w:szCs w:val="32"/>
        </w:rPr>
      </w:pPr>
      <w:r>
        <w:rPr>
          <w:rFonts w:ascii="仿宋_GB2312" w:eastAsia="仿宋_GB2312"/>
          <w:sz w:val="32"/>
          <w:szCs w:val="32"/>
        </w:rPr>
        <w:t>13.</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ascii="仿宋_GB2312" w:eastAsia="仿宋_GB2312"/>
          <w:sz w:val="32"/>
          <w:szCs w:val="32"/>
        </w:rPr>
        <w:t>14.</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ind w:firstLine="640" w:firstLineChars="200"/>
        <w:rPr>
          <w:rFonts w:ascii="仿宋_GB2312" w:eastAsia="仿宋_GB2312"/>
          <w:sz w:val="32"/>
          <w:szCs w:val="32"/>
        </w:rPr>
      </w:pPr>
      <w:r>
        <w:rPr>
          <w:rFonts w:ascii="仿宋_GB2312" w:eastAsia="仿宋_GB2312"/>
          <w:sz w:val="32"/>
          <w:szCs w:val="32"/>
        </w:rPr>
        <w:t>15.</w:t>
      </w:r>
      <w:r>
        <w:rPr>
          <w:rFonts w:hint="eastAsia" w:ascii="仿宋_GB2312" w:eastAsia="仿宋_GB2312"/>
          <w:sz w:val="32"/>
          <w:szCs w:val="32"/>
        </w:rPr>
        <w:t>经营支出：指事业单位在专业业务活动及其辅助活动之外开展非独立核算经营活动发生的支出。</w:t>
      </w:r>
    </w:p>
    <w:p>
      <w:pPr>
        <w:spacing w:line="600" w:lineRule="exact"/>
        <w:jc w:val="center"/>
        <w:outlineLvl w:val="0"/>
        <w:rPr>
          <w:rStyle w:val="24"/>
          <w:rFonts w:ascii="黑体" w:hAnsi="黑体" w:eastAsia="黑体"/>
          <w:b w:val="0"/>
        </w:rPr>
      </w:pPr>
      <w:bookmarkStart w:id="80" w:name="_Toc15377226"/>
      <w:r>
        <w:rPr>
          <w:rFonts w:ascii="宋体"/>
          <w:b/>
          <w:sz w:val="44"/>
          <w:szCs w:val="44"/>
        </w:rPr>
        <w:br w:type="page"/>
      </w:r>
      <w:bookmarkStart w:id="81" w:name="_Toc15396614"/>
      <w:bookmarkStart w:id="82" w:name="_Toc142059090"/>
      <w:r>
        <w:rPr>
          <w:rFonts w:hint="eastAsia" w:ascii="黑体" w:hAnsi="黑体" w:eastAsia="黑体"/>
          <w:sz w:val="44"/>
          <w:szCs w:val="44"/>
        </w:rPr>
        <w:t>第</w:t>
      </w:r>
      <w:r>
        <w:rPr>
          <w:rStyle w:val="24"/>
          <w:rFonts w:hint="eastAsia" w:ascii="黑体" w:hAnsi="黑体" w:eastAsia="黑体"/>
          <w:b w:val="0"/>
        </w:rPr>
        <w:t>四部分 附件</w:t>
      </w:r>
      <w:bookmarkEnd w:id="81"/>
      <w:bookmarkEnd w:id="82"/>
    </w:p>
    <w:p>
      <w:pPr>
        <w:spacing w:line="572" w:lineRule="exact"/>
        <w:jc w:val="left"/>
        <w:outlineLvl w:val="0"/>
        <w:rPr>
          <w:rFonts w:ascii="仿宋_GB2312" w:hAnsi="仿宋_GB2312" w:eastAsia="仿宋_GB2312" w:cs="仿宋_GB2312"/>
          <w:sz w:val="32"/>
          <w:szCs w:val="32"/>
        </w:rPr>
      </w:pPr>
    </w:p>
    <w:p>
      <w:pPr>
        <w:spacing w:line="600" w:lineRule="exact"/>
        <w:jc w:val="center"/>
        <w:outlineLvl w:val="0"/>
        <w:rPr>
          <w:rFonts w:ascii="宋体" w:hAnsi="宋体" w:cs="宋体"/>
          <w:kern w:val="0"/>
          <w:sz w:val="32"/>
          <w:szCs w:val="32"/>
        </w:rPr>
      </w:pPr>
      <w:bookmarkStart w:id="83" w:name="_Toc15396618"/>
    </w:p>
    <w:tbl>
      <w:tblPr>
        <w:tblStyle w:val="12"/>
        <w:tblW w:w="9210" w:type="dxa"/>
        <w:tblInd w:w="108" w:type="dxa"/>
        <w:tblLayout w:type="autofit"/>
        <w:tblCellMar>
          <w:top w:w="0" w:type="dxa"/>
          <w:left w:w="108" w:type="dxa"/>
          <w:bottom w:w="0" w:type="dxa"/>
          <w:right w:w="108" w:type="dxa"/>
        </w:tblCellMar>
      </w:tblPr>
      <w:tblGrid>
        <w:gridCol w:w="576"/>
        <w:gridCol w:w="576"/>
        <w:gridCol w:w="576"/>
        <w:gridCol w:w="666"/>
        <w:gridCol w:w="396"/>
        <w:gridCol w:w="396"/>
        <w:gridCol w:w="396"/>
        <w:gridCol w:w="846"/>
        <w:gridCol w:w="2515"/>
        <w:gridCol w:w="486"/>
        <w:gridCol w:w="1781"/>
      </w:tblGrid>
      <w:tr>
        <w:tblPrEx>
          <w:tblCellMar>
            <w:top w:w="0" w:type="dxa"/>
            <w:left w:w="108" w:type="dxa"/>
            <w:bottom w:w="0" w:type="dxa"/>
            <w:right w:w="108" w:type="dxa"/>
          </w:tblCellMar>
        </w:tblPrEx>
        <w:trPr>
          <w:trHeight w:val="904" w:hRule="atLeast"/>
        </w:trPr>
        <w:tc>
          <w:tcPr>
            <w:tcW w:w="921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5" w:hRule="atLeast"/>
        </w:trPr>
        <w:tc>
          <w:tcPr>
            <w:tcW w:w="1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80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51000022T000006607570-基于三维GIS的地质灾害多源数据融合管理平台研发</w:t>
            </w:r>
          </w:p>
        </w:tc>
      </w:tr>
      <w:tr>
        <w:tblPrEx>
          <w:tblCellMar>
            <w:top w:w="0" w:type="dxa"/>
            <w:left w:w="108" w:type="dxa"/>
            <w:bottom w:w="0" w:type="dxa"/>
            <w:right w:w="108" w:type="dxa"/>
          </w:tblCellMar>
        </w:tblPrEx>
        <w:trPr>
          <w:trHeight w:val="514" w:hRule="atLeast"/>
        </w:trPr>
        <w:tc>
          <w:tcPr>
            <w:tcW w:w="1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24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四川省地质矿产勘查开发局部门</w:t>
            </w:r>
          </w:p>
        </w:tc>
        <w:tc>
          <w:tcPr>
            <w:tcW w:w="846" w:type="dxa"/>
            <w:tcBorders>
              <w:top w:val="nil"/>
              <w:left w:val="nil"/>
              <w:bottom w:val="nil"/>
              <w:right w:val="nil"/>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实施单位 （盖章）</w:t>
            </w:r>
          </w:p>
        </w:tc>
        <w:tc>
          <w:tcPr>
            <w:tcW w:w="47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四川省地质矿产勘查开发局成都水文地质工程地质队</w:t>
            </w:r>
          </w:p>
        </w:tc>
      </w:tr>
      <w:tr>
        <w:tblPrEx>
          <w:tblCellMar>
            <w:top w:w="0" w:type="dxa"/>
            <w:left w:w="108" w:type="dxa"/>
            <w:bottom w:w="0" w:type="dxa"/>
            <w:right w:w="108" w:type="dxa"/>
          </w:tblCellMar>
        </w:tblPrEx>
        <w:trPr>
          <w:trHeight w:val="285"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24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56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等线" w:cs="宋体"/>
                <w:color w:val="000000"/>
                <w:kern w:val="0"/>
                <w:sz w:val="18"/>
                <w:szCs w:val="18"/>
              </w:rPr>
            </w:pPr>
            <w:r>
              <w:rPr>
                <w:rFonts w:ascii="黑体" w:hAnsi="黑体" w:eastAsia="等线" w:cs="宋体"/>
                <w:color w:val="000000"/>
                <w:kern w:val="0"/>
                <w:sz w:val="18"/>
                <w:szCs w:val="18"/>
              </w:rPr>
              <w:t>年度目标完成情况</w:t>
            </w:r>
          </w:p>
        </w:tc>
      </w:tr>
      <w:tr>
        <w:tblPrEx>
          <w:tblCellMar>
            <w:top w:w="0" w:type="dxa"/>
            <w:left w:w="108" w:type="dxa"/>
            <w:bottom w:w="0" w:type="dxa"/>
            <w:right w:w="108" w:type="dxa"/>
          </w:tblCellMar>
        </w:tblPrEx>
        <w:trPr>
          <w:trHeight w:val="1129"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24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要研究内容包括项目数据管理和共享，数据可视化融合及分析。将高精度遥感、InSAR数据、LiDAR模型、三维倾斜摄影模型等多源异构数据进行同一平台集成、展示和管理，打破传统地质灾害单一手段独立分析弊端，极大提升地质灾害综合识别精准度。此外，研发的项目管理平台以三维虚拟地球为载体可实现项目实时、异地查询和数据共享，极大提高工作效率。</w:t>
            </w:r>
          </w:p>
        </w:tc>
        <w:tc>
          <w:tcPr>
            <w:tcW w:w="56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该项目实现了数据管理和共享，数据可视化融合及分析。多源异构数据进行同一平台集成、展示和管理，极大提升地质灾害综合识别精准度。以三维虚拟地球为载体可实现项目实时、异地查询和数据共享，极大提高了工作效率。</w:t>
            </w:r>
          </w:p>
        </w:tc>
      </w:tr>
      <w:tr>
        <w:tblPrEx>
          <w:tblCellMar>
            <w:top w:w="0" w:type="dxa"/>
            <w:left w:w="108" w:type="dxa"/>
            <w:bottom w:w="0" w:type="dxa"/>
            <w:right w:w="108" w:type="dxa"/>
          </w:tblCellMar>
        </w:tblPrEx>
        <w:trPr>
          <w:trHeight w:val="694"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80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2022年1-6月进行项目前期调查，确定研究区域并完成各类数据采集与数据预处理工作，了解数据源类型，分析平台系统需求，初步完成平台项目数据管理模块功能；实现基于数字地球的GIS分析功能，包括:距离测量、面积测量、日照分析、通视性分析等功能；实现对三维模型的编辑功能，包括:模型位置调整，姿态调整，实景模型裁剪，三维模型与数据库数据的交互，模型与物联网监测数据的关联；平台可视化结果共享。</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7-12月完成平台数据融合及可视化功能，实现“天、空地”多源数据在三维虚拟地球的统一展示；在典型地质灾害项目进行示范应用，编制研究成果报告。</w:t>
            </w:r>
          </w:p>
        </w:tc>
      </w:tr>
      <w:tr>
        <w:tblPrEx>
          <w:tblCellMar>
            <w:top w:w="0" w:type="dxa"/>
            <w:left w:w="108" w:type="dxa"/>
            <w:bottom w:w="0" w:type="dxa"/>
            <w:right w:w="108" w:type="dxa"/>
          </w:tblCellMar>
        </w:tblPrEx>
        <w:trPr>
          <w:trHeight w:val="36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11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w:t>
            </w:r>
          </w:p>
        </w:tc>
        <w:tc>
          <w:tcPr>
            <w:tcW w:w="11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w:t>
            </w:r>
            <w:r>
              <w:rPr>
                <w:rFonts w:hint="eastAsia" w:ascii="宋体" w:hAnsi="宋体" w:cs="宋体"/>
                <w:color w:val="000000"/>
                <w:kern w:val="0"/>
                <w:sz w:val="18"/>
                <w:szCs w:val="18"/>
              </w:rPr>
              <w:t>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w:t>
            </w:r>
            <w:r>
              <w:rPr>
                <w:rFonts w:hint="eastAsia" w:ascii="宋体" w:hAnsi="宋体" w:cs="宋体"/>
                <w:color w:val="000000"/>
                <w:kern w:val="0"/>
                <w:sz w:val="18"/>
                <w:szCs w:val="18"/>
              </w:rPr>
              <w:t>0</w:t>
            </w:r>
          </w:p>
        </w:tc>
        <w:tc>
          <w:tcPr>
            <w:tcW w:w="1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等线" w:cs="宋体"/>
                <w:i/>
                <w:iCs/>
                <w:color w:val="000000"/>
                <w:kern w:val="0"/>
                <w:sz w:val="18"/>
                <w:szCs w:val="18"/>
              </w:rPr>
            </w:pPr>
            <w:r>
              <w:rPr>
                <w:rFonts w:ascii="黑体" w:hAnsi="黑体" w:eastAsia="等线" w:cs="宋体"/>
                <w:i/>
                <w:iCs/>
                <w:color w:val="000000"/>
                <w:kern w:val="0"/>
                <w:sz w:val="18"/>
                <w:szCs w:val="18"/>
              </w:rPr>
              <w:t>年中预算追加50万元，是由于四川省财政厅 四川省科学技术厅下达的2022年第一批省级科技计划项目专项资金预算。</w:t>
            </w:r>
          </w:p>
        </w:tc>
      </w:tr>
      <w:tr>
        <w:tblPrEx>
          <w:tblCellMar>
            <w:top w:w="0" w:type="dxa"/>
            <w:left w:w="108" w:type="dxa"/>
            <w:bottom w:w="0" w:type="dxa"/>
            <w:right w:w="108" w:type="dxa"/>
          </w:tblCellMar>
        </w:tblPrEx>
        <w:trPr>
          <w:trHeight w:val="432"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w:t>
            </w:r>
          </w:p>
        </w:tc>
        <w:tc>
          <w:tcPr>
            <w:tcW w:w="11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47"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1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02"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1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379"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Times New Roman"/>
                <w:kern w:val="0"/>
                <w:sz w:val="20"/>
                <w:szCs w:val="20"/>
              </w:rPr>
            </w:pPr>
          </w:p>
        </w:tc>
        <w:tc>
          <w:tcPr>
            <w:tcW w:w="11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Times New Roman"/>
                <w:kern w:val="0"/>
                <w:sz w:val="20"/>
                <w:szCs w:val="20"/>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Times New Roman"/>
                <w:kern w:val="0"/>
                <w:sz w:val="20"/>
                <w:szCs w:val="20"/>
              </w:rPr>
            </w:pP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54"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8"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研究报告数量</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454" w:hRule="atLeast"/>
        </w:trPr>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得到实际应用的科研成果数量</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442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100</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60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863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实现了项目年度目标，将研究成果应用于生产中；预算执行全额完成，也达成了各项绩效指标。</w:t>
            </w:r>
          </w:p>
        </w:tc>
      </w:tr>
      <w:tr>
        <w:tblPrEx>
          <w:tblCellMar>
            <w:top w:w="0" w:type="dxa"/>
            <w:left w:w="108" w:type="dxa"/>
            <w:bottom w:w="0" w:type="dxa"/>
            <w:right w:w="108" w:type="dxa"/>
          </w:tblCellMar>
        </w:tblPrEx>
        <w:trPr>
          <w:trHeight w:val="57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863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虽然预算执行率完成100%，但是执行进度因为项目进展情况略有滞后。</w:t>
            </w:r>
          </w:p>
        </w:tc>
      </w:tr>
      <w:tr>
        <w:tblPrEx>
          <w:tblCellMar>
            <w:top w:w="0" w:type="dxa"/>
            <w:left w:w="108" w:type="dxa"/>
            <w:bottom w:w="0" w:type="dxa"/>
            <w:right w:w="108" w:type="dxa"/>
          </w:tblCellMar>
        </w:tblPrEx>
        <w:trPr>
          <w:trHeight w:val="63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863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跟进监督项目进展情况，及时加强预算执行进度。</w:t>
            </w:r>
          </w:p>
        </w:tc>
      </w:tr>
      <w:tr>
        <w:tblPrEx>
          <w:tblCellMar>
            <w:top w:w="0" w:type="dxa"/>
            <w:left w:w="108" w:type="dxa"/>
            <w:bottom w:w="0" w:type="dxa"/>
            <w:right w:w="108" w:type="dxa"/>
          </w:tblCellMar>
        </w:tblPrEx>
        <w:trPr>
          <w:trHeight w:val="285" w:hRule="atLeast"/>
        </w:trPr>
        <w:tc>
          <w:tcPr>
            <w:tcW w:w="27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项目负责人：李江</w:t>
            </w:r>
          </w:p>
        </w:tc>
        <w:tc>
          <w:tcPr>
            <w:tcW w:w="6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财务负责人：朱敬萍</w:t>
            </w:r>
          </w:p>
        </w:tc>
      </w:tr>
    </w:tbl>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spacing w:line="600" w:lineRule="exact"/>
        <w:jc w:val="center"/>
        <w:outlineLvl w:val="0"/>
        <w:rPr>
          <w:rFonts w:ascii="黑体" w:hAnsi="黑体" w:eastAsia="黑体"/>
          <w:sz w:val="44"/>
          <w:szCs w:val="44"/>
        </w:rPr>
      </w:pPr>
      <w:bookmarkStart w:id="84" w:name="_Toc142059091"/>
    </w:p>
    <w:p>
      <w:pPr>
        <w:spacing w:line="600" w:lineRule="exact"/>
        <w:jc w:val="center"/>
        <w:outlineLvl w:val="0"/>
        <w:rPr>
          <w:rStyle w:val="24"/>
          <w:rFonts w:ascii="黑体" w:hAnsi="黑体" w:eastAsia="黑体"/>
          <w:b w:val="0"/>
        </w:rPr>
      </w:pPr>
      <w:r>
        <w:rPr>
          <w:rFonts w:hint="eastAsia" w:ascii="黑体" w:hAnsi="黑体" w:eastAsia="黑体"/>
          <w:sz w:val="44"/>
          <w:szCs w:val="44"/>
        </w:rPr>
        <w:t>第</w:t>
      </w:r>
      <w:r>
        <w:rPr>
          <w:rStyle w:val="24"/>
          <w:rFonts w:hint="eastAsia" w:ascii="黑体" w:hAnsi="黑体" w:eastAsia="黑体"/>
          <w:b w:val="0"/>
        </w:rPr>
        <w:t>五部分 附表</w:t>
      </w:r>
      <w:bookmarkEnd w:id="80"/>
      <w:bookmarkEnd w:id="83"/>
      <w:bookmarkEnd w:id="84"/>
      <w:bookmarkStart w:id="85" w:name="_Toc15396619"/>
    </w:p>
    <w:p>
      <w:pPr>
        <w:pStyle w:val="2"/>
        <w:spacing w:before="93"/>
      </w:pPr>
    </w:p>
    <w:p>
      <w:pPr>
        <w:pStyle w:val="4"/>
        <w:rPr>
          <w:rFonts w:ascii="仿宋" w:hAnsi="仿宋" w:eastAsia="仿宋"/>
        </w:rPr>
      </w:pPr>
      <w:bookmarkStart w:id="86" w:name="_Toc142059092"/>
      <w:r>
        <w:rPr>
          <w:rFonts w:hint="eastAsia" w:ascii="仿宋" w:hAnsi="仿宋" w:eastAsia="仿宋"/>
          <w:b w:val="0"/>
        </w:rPr>
        <w:t>一、收</w:t>
      </w:r>
      <w:r>
        <w:rPr>
          <w:rStyle w:val="25"/>
          <w:rFonts w:hint="eastAsia" w:ascii="仿宋" w:hAnsi="仿宋" w:eastAsia="仿宋"/>
          <w:b w:val="0"/>
          <w:bCs w:val="0"/>
        </w:rPr>
        <w:t>入支出决算总表</w:t>
      </w:r>
      <w:bookmarkEnd w:id="85"/>
      <w:bookmarkEnd w:id="86"/>
    </w:p>
    <w:p>
      <w:pPr>
        <w:pStyle w:val="4"/>
        <w:rPr>
          <w:rFonts w:ascii="仿宋" w:hAnsi="仿宋" w:eastAsia="仿宋"/>
        </w:rPr>
      </w:pPr>
      <w:bookmarkStart w:id="87" w:name="_Toc15396620"/>
      <w:bookmarkStart w:id="88" w:name="_Toc142059093"/>
      <w:r>
        <w:rPr>
          <w:rFonts w:hint="eastAsia" w:ascii="仿宋" w:hAnsi="仿宋" w:eastAsia="仿宋"/>
          <w:b w:val="0"/>
        </w:rPr>
        <w:t>二、收</w:t>
      </w:r>
      <w:r>
        <w:rPr>
          <w:rStyle w:val="25"/>
          <w:rFonts w:hint="eastAsia" w:ascii="仿宋" w:hAnsi="仿宋" w:eastAsia="仿宋"/>
          <w:b w:val="0"/>
          <w:bCs w:val="0"/>
        </w:rPr>
        <w:t>入决算表</w:t>
      </w:r>
      <w:bookmarkEnd w:id="87"/>
      <w:bookmarkEnd w:id="88"/>
    </w:p>
    <w:p>
      <w:pPr>
        <w:pStyle w:val="4"/>
        <w:rPr>
          <w:rFonts w:ascii="仿宋" w:hAnsi="仿宋" w:eastAsia="仿宋"/>
        </w:rPr>
      </w:pPr>
      <w:bookmarkStart w:id="89" w:name="_Toc15396621"/>
      <w:bookmarkStart w:id="90" w:name="_Toc142059094"/>
      <w:r>
        <w:rPr>
          <w:rStyle w:val="25"/>
          <w:rFonts w:hint="eastAsia" w:ascii="仿宋" w:hAnsi="仿宋" w:eastAsia="仿宋"/>
          <w:b w:val="0"/>
          <w:bCs w:val="0"/>
        </w:rPr>
        <w:t>三、</w:t>
      </w:r>
      <w:r>
        <w:rPr>
          <w:rFonts w:hint="eastAsia" w:ascii="仿宋" w:hAnsi="仿宋" w:eastAsia="仿宋"/>
          <w:b w:val="0"/>
        </w:rPr>
        <w:t>支</w:t>
      </w:r>
      <w:r>
        <w:rPr>
          <w:rStyle w:val="25"/>
          <w:rFonts w:hint="eastAsia" w:ascii="仿宋" w:hAnsi="仿宋" w:eastAsia="仿宋"/>
          <w:b w:val="0"/>
          <w:bCs w:val="0"/>
        </w:rPr>
        <w:t>出决算表</w:t>
      </w:r>
      <w:bookmarkEnd w:id="89"/>
      <w:bookmarkEnd w:id="90"/>
    </w:p>
    <w:p>
      <w:pPr>
        <w:pStyle w:val="4"/>
        <w:rPr>
          <w:rFonts w:ascii="仿宋" w:hAnsi="仿宋" w:eastAsia="仿宋"/>
          <w:b w:val="0"/>
        </w:rPr>
      </w:pPr>
      <w:bookmarkStart w:id="91" w:name="_Toc15396622"/>
      <w:bookmarkStart w:id="92" w:name="_Toc142059095"/>
      <w:r>
        <w:rPr>
          <w:rStyle w:val="25"/>
          <w:rFonts w:hint="eastAsia" w:ascii="仿宋" w:hAnsi="仿宋" w:eastAsia="仿宋"/>
          <w:b w:val="0"/>
          <w:bCs w:val="0"/>
        </w:rPr>
        <w:t>四、</w:t>
      </w:r>
      <w:r>
        <w:rPr>
          <w:rFonts w:hint="eastAsia" w:ascii="仿宋" w:hAnsi="仿宋" w:eastAsia="仿宋"/>
          <w:b w:val="0"/>
        </w:rPr>
        <w:t>财</w:t>
      </w:r>
      <w:r>
        <w:rPr>
          <w:rStyle w:val="25"/>
          <w:rFonts w:hint="eastAsia" w:ascii="仿宋" w:hAnsi="仿宋" w:eastAsia="仿宋"/>
          <w:b w:val="0"/>
          <w:bCs w:val="0"/>
        </w:rPr>
        <w:t>政拨款收入支出决算总表</w:t>
      </w:r>
      <w:bookmarkEnd w:id="91"/>
      <w:bookmarkEnd w:id="92"/>
    </w:p>
    <w:p>
      <w:pPr>
        <w:pStyle w:val="4"/>
        <w:rPr>
          <w:rStyle w:val="25"/>
          <w:rFonts w:ascii="仿宋" w:hAnsi="仿宋" w:eastAsia="仿宋"/>
          <w:b w:val="0"/>
          <w:bCs w:val="0"/>
        </w:rPr>
      </w:pPr>
      <w:bookmarkStart w:id="93" w:name="_Toc15396623"/>
      <w:bookmarkStart w:id="94" w:name="_Toc142059096"/>
      <w:r>
        <w:rPr>
          <w:rStyle w:val="25"/>
          <w:rFonts w:hint="eastAsia" w:ascii="仿宋" w:hAnsi="仿宋" w:eastAsia="仿宋"/>
          <w:b w:val="0"/>
          <w:bCs w:val="0"/>
        </w:rPr>
        <w:t>五、</w:t>
      </w:r>
      <w:r>
        <w:rPr>
          <w:rFonts w:hint="eastAsia" w:ascii="仿宋" w:hAnsi="仿宋" w:eastAsia="仿宋"/>
          <w:b w:val="0"/>
        </w:rPr>
        <w:t>财</w:t>
      </w:r>
      <w:r>
        <w:rPr>
          <w:rStyle w:val="25"/>
          <w:rFonts w:hint="eastAsia" w:ascii="仿宋" w:hAnsi="仿宋" w:eastAsia="仿宋"/>
          <w:b w:val="0"/>
          <w:bCs w:val="0"/>
        </w:rPr>
        <w:t>政拨款支出决算明细表</w:t>
      </w:r>
      <w:bookmarkEnd w:id="93"/>
      <w:bookmarkEnd w:id="94"/>
      <w:bookmarkStart w:id="95" w:name="_Toc15396624"/>
    </w:p>
    <w:p>
      <w:pPr>
        <w:pStyle w:val="4"/>
        <w:rPr>
          <w:rFonts w:ascii="仿宋" w:hAnsi="仿宋" w:eastAsia="仿宋"/>
        </w:rPr>
      </w:pPr>
      <w:bookmarkStart w:id="96" w:name="_Toc142059097"/>
      <w:r>
        <w:rPr>
          <w:rStyle w:val="25"/>
          <w:rFonts w:hint="eastAsia" w:ascii="仿宋" w:hAnsi="仿宋" w:eastAsia="仿宋"/>
          <w:b w:val="0"/>
          <w:bCs w:val="0"/>
        </w:rPr>
        <w:t>六、</w:t>
      </w:r>
      <w:r>
        <w:rPr>
          <w:rFonts w:hint="eastAsia" w:ascii="仿宋" w:hAnsi="仿宋" w:eastAsia="仿宋"/>
          <w:b w:val="0"/>
        </w:rPr>
        <w:t>一</w:t>
      </w:r>
      <w:r>
        <w:rPr>
          <w:rStyle w:val="25"/>
          <w:rFonts w:hint="eastAsia" w:ascii="仿宋" w:hAnsi="仿宋" w:eastAsia="仿宋"/>
          <w:b w:val="0"/>
          <w:bCs w:val="0"/>
        </w:rPr>
        <w:t>般公共预算财政拨款支出决算表</w:t>
      </w:r>
      <w:bookmarkEnd w:id="95"/>
      <w:bookmarkEnd w:id="96"/>
    </w:p>
    <w:p>
      <w:pPr>
        <w:pStyle w:val="4"/>
        <w:rPr>
          <w:rFonts w:ascii="仿宋" w:hAnsi="仿宋" w:eastAsia="仿宋"/>
        </w:rPr>
      </w:pPr>
      <w:bookmarkStart w:id="97" w:name="_Toc15396625"/>
      <w:bookmarkStart w:id="98" w:name="_Toc142059098"/>
      <w:r>
        <w:rPr>
          <w:rStyle w:val="25"/>
          <w:rFonts w:hint="eastAsia" w:ascii="仿宋" w:hAnsi="仿宋" w:eastAsia="仿宋"/>
          <w:b w:val="0"/>
          <w:bCs w:val="0"/>
        </w:rPr>
        <w:t>七、</w:t>
      </w:r>
      <w:r>
        <w:rPr>
          <w:rFonts w:hint="eastAsia" w:ascii="仿宋" w:hAnsi="仿宋" w:eastAsia="仿宋"/>
          <w:b w:val="0"/>
        </w:rPr>
        <w:t>一</w:t>
      </w:r>
      <w:r>
        <w:rPr>
          <w:rStyle w:val="25"/>
          <w:rFonts w:hint="eastAsia" w:ascii="仿宋" w:hAnsi="仿宋" w:eastAsia="仿宋"/>
          <w:b w:val="0"/>
          <w:bCs w:val="0"/>
        </w:rPr>
        <w:t>般公共预算财政拨款支出决算明细表</w:t>
      </w:r>
      <w:bookmarkEnd w:id="97"/>
      <w:bookmarkEnd w:id="98"/>
    </w:p>
    <w:p>
      <w:pPr>
        <w:pStyle w:val="4"/>
        <w:rPr>
          <w:rFonts w:ascii="仿宋" w:hAnsi="仿宋" w:eastAsia="仿宋"/>
        </w:rPr>
      </w:pPr>
      <w:bookmarkStart w:id="99" w:name="_Toc15396626"/>
      <w:bookmarkStart w:id="100" w:name="_Toc142059099"/>
      <w:r>
        <w:rPr>
          <w:rStyle w:val="25"/>
          <w:rFonts w:hint="eastAsia" w:ascii="仿宋" w:hAnsi="仿宋" w:eastAsia="仿宋"/>
          <w:b w:val="0"/>
          <w:bCs w:val="0"/>
        </w:rPr>
        <w:t>八、</w:t>
      </w:r>
      <w:r>
        <w:rPr>
          <w:rFonts w:hint="eastAsia" w:ascii="仿宋" w:hAnsi="仿宋" w:eastAsia="仿宋"/>
          <w:b w:val="0"/>
        </w:rPr>
        <w:t>一</w:t>
      </w:r>
      <w:r>
        <w:rPr>
          <w:rStyle w:val="25"/>
          <w:rFonts w:hint="eastAsia" w:ascii="仿宋" w:hAnsi="仿宋" w:eastAsia="仿宋"/>
          <w:b w:val="0"/>
          <w:bCs w:val="0"/>
        </w:rPr>
        <w:t>般公共预算财政拨款基本支出决算表</w:t>
      </w:r>
      <w:bookmarkEnd w:id="99"/>
      <w:bookmarkEnd w:id="100"/>
    </w:p>
    <w:p>
      <w:pPr>
        <w:pStyle w:val="4"/>
        <w:rPr>
          <w:rFonts w:ascii="仿宋" w:hAnsi="仿宋" w:eastAsia="仿宋"/>
        </w:rPr>
      </w:pPr>
      <w:bookmarkStart w:id="101" w:name="_Toc15396627"/>
      <w:bookmarkStart w:id="102" w:name="_Toc142059100"/>
      <w:r>
        <w:rPr>
          <w:rStyle w:val="25"/>
          <w:rFonts w:hint="eastAsia" w:ascii="仿宋" w:hAnsi="仿宋" w:eastAsia="仿宋"/>
          <w:b w:val="0"/>
          <w:bCs w:val="0"/>
        </w:rPr>
        <w:t>九、</w:t>
      </w:r>
      <w:r>
        <w:rPr>
          <w:rFonts w:hint="eastAsia" w:ascii="仿宋" w:hAnsi="仿宋" w:eastAsia="仿宋"/>
          <w:b w:val="0"/>
        </w:rPr>
        <w:t>一</w:t>
      </w:r>
      <w:r>
        <w:rPr>
          <w:rStyle w:val="25"/>
          <w:rFonts w:hint="eastAsia" w:ascii="仿宋" w:hAnsi="仿宋" w:eastAsia="仿宋"/>
          <w:b w:val="0"/>
          <w:bCs w:val="0"/>
        </w:rPr>
        <w:t>般公共预算财政拨款项目支出决算表</w:t>
      </w:r>
      <w:bookmarkEnd w:id="101"/>
      <w:bookmarkEnd w:id="102"/>
    </w:p>
    <w:p>
      <w:pPr>
        <w:pStyle w:val="4"/>
        <w:rPr>
          <w:rFonts w:ascii="仿宋" w:hAnsi="仿宋" w:eastAsia="仿宋"/>
        </w:rPr>
      </w:pPr>
      <w:bookmarkStart w:id="103" w:name="_Toc15396628"/>
      <w:bookmarkStart w:id="104" w:name="_Toc142059101"/>
      <w:r>
        <w:rPr>
          <w:rStyle w:val="25"/>
          <w:rFonts w:hint="eastAsia" w:ascii="仿宋" w:hAnsi="仿宋" w:eastAsia="仿宋"/>
          <w:b w:val="0"/>
          <w:bCs w:val="0"/>
        </w:rPr>
        <w:t>十、</w:t>
      </w:r>
      <w:bookmarkEnd w:id="103"/>
      <w:r>
        <w:rPr>
          <w:rFonts w:hint="eastAsia" w:ascii="仿宋" w:hAnsi="仿宋" w:eastAsia="仿宋"/>
          <w:b w:val="0"/>
        </w:rPr>
        <w:t>政</w:t>
      </w:r>
      <w:r>
        <w:rPr>
          <w:rStyle w:val="25"/>
          <w:rFonts w:hint="eastAsia" w:ascii="仿宋" w:hAnsi="仿宋" w:eastAsia="仿宋"/>
          <w:b w:val="0"/>
          <w:bCs w:val="0"/>
        </w:rPr>
        <w:t>府性基金预算财政拨款收入支出决算表</w:t>
      </w:r>
      <w:bookmarkEnd w:id="104"/>
    </w:p>
    <w:p>
      <w:pPr>
        <w:pStyle w:val="4"/>
        <w:rPr>
          <w:rFonts w:ascii="仿宋" w:hAnsi="仿宋" w:eastAsia="仿宋"/>
        </w:rPr>
      </w:pPr>
      <w:bookmarkStart w:id="105" w:name="_Toc15396629"/>
      <w:bookmarkStart w:id="106" w:name="_Toc142059102"/>
      <w:r>
        <w:rPr>
          <w:rStyle w:val="25"/>
          <w:rFonts w:hint="eastAsia" w:ascii="仿宋" w:hAnsi="仿宋" w:eastAsia="仿宋"/>
          <w:b w:val="0"/>
          <w:bCs w:val="0"/>
        </w:rPr>
        <w:t>十一、</w:t>
      </w:r>
      <w:bookmarkEnd w:id="105"/>
      <w:r>
        <w:rPr>
          <w:rFonts w:hint="eastAsia" w:ascii="仿宋" w:hAnsi="仿宋" w:eastAsia="仿宋"/>
          <w:b w:val="0"/>
        </w:rPr>
        <w:t>国</w:t>
      </w:r>
      <w:r>
        <w:rPr>
          <w:rStyle w:val="25"/>
          <w:rFonts w:hint="eastAsia" w:ascii="仿宋" w:hAnsi="仿宋" w:eastAsia="仿宋"/>
          <w:b w:val="0"/>
          <w:bCs w:val="0"/>
        </w:rPr>
        <w:t>有资本经营预算财政拨款收入支出决算表</w:t>
      </w:r>
      <w:bookmarkEnd w:id="106"/>
    </w:p>
    <w:p>
      <w:pPr>
        <w:pStyle w:val="4"/>
        <w:rPr>
          <w:rFonts w:ascii="仿宋" w:hAnsi="仿宋" w:eastAsia="仿宋"/>
        </w:rPr>
      </w:pPr>
      <w:bookmarkStart w:id="107" w:name="_Toc15396630"/>
      <w:bookmarkStart w:id="108" w:name="_Toc142059103"/>
      <w:r>
        <w:rPr>
          <w:rStyle w:val="25"/>
          <w:rFonts w:hint="eastAsia" w:ascii="仿宋" w:hAnsi="仿宋" w:eastAsia="仿宋"/>
          <w:b w:val="0"/>
          <w:bCs w:val="0"/>
        </w:rPr>
        <w:t>十二、</w:t>
      </w:r>
      <w:bookmarkEnd w:id="107"/>
      <w:r>
        <w:rPr>
          <w:rStyle w:val="25"/>
          <w:rFonts w:hint="eastAsia" w:ascii="仿宋" w:hAnsi="仿宋" w:eastAsia="仿宋"/>
          <w:b w:val="0"/>
          <w:bCs w:val="0"/>
        </w:rPr>
        <w:t>国有资本经营预算财政拨款支出决算表</w:t>
      </w:r>
      <w:bookmarkEnd w:id="108"/>
    </w:p>
    <w:p>
      <w:pPr>
        <w:pStyle w:val="4"/>
        <w:rPr>
          <w:rFonts w:eastAsia="仿宋"/>
        </w:rPr>
      </w:pPr>
      <w:bookmarkStart w:id="109" w:name="_Toc15396631"/>
      <w:bookmarkStart w:id="110" w:name="_Toc142059104"/>
      <w:r>
        <w:rPr>
          <w:rStyle w:val="25"/>
          <w:rFonts w:hint="eastAsia" w:ascii="仿宋" w:hAnsi="仿宋" w:eastAsia="仿宋"/>
          <w:b w:val="0"/>
          <w:bCs w:val="0"/>
        </w:rPr>
        <w:t>十三、</w:t>
      </w:r>
      <w:bookmarkEnd w:id="109"/>
      <w:r>
        <w:rPr>
          <w:rStyle w:val="25"/>
          <w:rFonts w:hint="eastAsia" w:ascii="仿宋" w:hAnsi="仿宋" w:eastAsia="仿宋"/>
          <w:b w:val="0"/>
          <w:bCs w:val="0"/>
        </w:rPr>
        <w:t>财政拨款“三公”经费支出决算表</w:t>
      </w:r>
      <w:bookmarkEnd w:id="110"/>
    </w:p>
    <w:sectPr>
      <w:footerReference r:id="rId7" w:type="first"/>
      <w:footerReference r:id="rId6"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YzdjNDI5NGU0ZTVjMzYzZjczMDA0Njc2YTE0NWIifQ=="/>
  </w:docVars>
  <w:rsids>
    <w:rsidRoot w:val="00F1361C"/>
    <w:rsid w:val="000222C6"/>
    <w:rsid w:val="00023092"/>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C4AE2"/>
    <w:rsid w:val="000D1267"/>
    <w:rsid w:val="000D1D50"/>
    <w:rsid w:val="000D5782"/>
    <w:rsid w:val="000D73CD"/>
    <w:rsid w:val="000E390C"/>
    <w:rsid w:val="000E6613"/>
    <w:rsid w:val="000E7119"/>
    <w:rsid w:val="000E78DA"/>
    <w:rsid w:val="000F6A2F"/>
    <w:rsid w:val="00114E9B"/>
    <w:rsid w:val="00122274"/>
    <w:rsid w:val="001254C9"/>
    <w:rsid w:val="00142216"/>
    <w:rsid w:val="00144D6A"/>
    <w:rsid w:val="0014729F"/>
    <w:rsid w:val="00157BAB"/>
    <w:rsid w:val="001654D1"/>
    <w:rsid w:val="00174518"/>
    <w:rsid w:val="0017610C"/>
    <w:rsid w:val="0018106D"/>
    <w:rsid w:val="001877A7"/>
    <w:rsid w:val="00191536"/>
    <w:rsid w:val="00196687"/>
    <w:rsid w:val="00197FA0"/>
    <w:rsid w:val="001B4A39"/>
    <w:rsid w:val="001C0962"/>
    <w:rsid w:val="001C4358"/>
    <w:rsid w:val="001D6C82"/>
    <w:rsid w:val="001D7531"/>
    <w:rsid w:val="001E737D"/>
    <w:rsid w:val="001F0592"/>
    <w:rsid w:val="001F0B11"/>
    <w:rsid w:val="001F7506"/>
    <w:rsid w:val="002006CD"/>
    <w:rsid w:val="00202B36"/>
    <w:rsid w:val="00204B7A"/>
    <w:rsid w:val="00204CDE"/>
    <w:rsid w:val="0021101A"/>
    <w:rsid w:val="00216F22"/>
    <w:rsid w:val="00220536"/>
    <w:rsid w:val="00235629"/>
    <w:rsid w:val="00240F41"/>
    <w:rsid w:val="00260C38"/>
    <w:rsid w:val="002616C0"/>
    <w:rsid w:val="00265372"/>
    <w:rsid w:val="002662AA"/>
    <w:rsid w:val="00273B12"/>
    <w:rsid w:val="00280496"/>
    <w:rsid w:val="00290972"/>
    <w:rsid w:val="00294DC9"/>
    <w:rsid w:val="00295495"/>
    <w:rsid w:val="002A09CF"/>
    <w:rsid w:val="002A31DE"/>
    <w:rsid w:val="002A341D"/>
    <w:rsid w:val="002B2613"/>
    <w:rsid w:val="002D6D05"/>
    <w:rsid w:val="002E1A5D"/>
    <w:rsid w:val="002E2AB9"/>
    <w:rsid w:val="002F1818"/>
    <w:rsid w:val="002F567B"/>
    <w:rsid w:val="002F6A53"/>
    <w:rsid w:val="002F6AC5"/>
    <w:rsid w:val="00301B73"/>
    <w:rsid w:val="00303B4D"/>
    <w:rsid w:val="0031092E"/>
    <w:rsid w:val="00311235"/>
    <w:rsid w:val="003216A9"/>
    <w:rsid w:val="00335A74"/>
    <w:rsid w:val="00341E63"/>
    <w:rsid w:val="00356E7E"/>
    <w:rsid w:val="0036561B"/>
    <w:rsid w:val="0037013F"/>
    <w:rsid w:val="00380C92"/>
    <w:rsid w:val="00381121"/>
    <w:rsid w:val="003A484F"/>
    <w:rsid w:val="003A4883"/>
    <w:rsid w:val="003B0BE0"/>
    <w:rsid w:val="003B0C1B"/>
    <w:rsid w:val="003B59DF"/>
    <w:rsid w:val="003B688C"/>
    <w:rsid w:val="003C0291"/>
    <w:rsid w:val="003C39AE"/>
    <w:rsid w:val="003C7B60"/>
    <w:rsid w:val="003D0C0F"/>
    <w:rsid w:val="003D1FB2"/>
    <w:rsid w:val="003D66DA"/>
    <w:rsid w:val="003E1310"/>
    <w:rsid w:val="003E6F55"/>
    <w:rsid w:val="003E73A0"/>
    <w:rsid w:val="00406254"/>
    <w:rsid w:val="004223DE"/>
    <w:rsid w:val="00434489"/>
    <w:rsid w:val="00437085"/>
    <w:rsid w:val="00441652"/>
    <w:rsid w:val="00443880"/>
    <w:rsid w:val="00443F7D"/>
    <w:rsid w:val="004464F4"/>
    <w:rsid w:val="00453D92"/>
    <w:rsid w:val="0046036D"/>
    <w:rsid w:val="00471401"/>
    <w:rsid w:val="00473F31"/>
    <w:rsid w:val="00474B30"/>
    <w:rsid w:val="004804F7"/>
    <w:rsid w:val="0048263A"/>
    <w:rsid w:val="00487E5D"/>
    <w:rsid w:val="00490188"/>
    <w:rsid w:val="0049426C"/>
    <w:rsid w:val="00494E21"/>
    <w:rsid w:val="004A711F"/>
    <w:rsid w:val="004B199D"/>
    <w:rsid w:val="004B4690"/>
    <w:rsid w:val="004E0A2D"/>
    <w:rsid w:val="004E206B"/>
    <w:rsid w:val="004E6DF7"/>
    <w:rsid w:val="004F0FBD"/>
    <w:rsid w:val="0050270A"/>
    <w:rsid w:val="00505498"/>
    <w:rsid w:val="00505A47"/>
    <w:rsid w:val="00512FDA"/>
    <w:rsid w:val="00520DA0"/>
    <w:rsid w:val="00540A4D"/>
    <w:rsid w:val="005664BB"/>
    <w:rsid w:val="00566FFA"/>
    <w:rsid w:val="005724C7"/>
    <w:rsid w:val="0057481D"/>
    <w:rsid w:val="0058486E"/>
    <w:rsid w:val="00585B33"/>
    <w:rsid w:val="00585D71"/>
    <w:rsid w:val="0059014D"/>
    <w:rsid w:val="00592AEA"/>
    <w:rsid w:val="005B5C64"/>
    <w:rsid w:val="005C5337"/>
    <w:rsid w:val="005C6BD0"/>
    <w:rsid w:val="005D1C8B"/>
    <w:rsid w:val="005D468D"/>
    <w:rsid w:val="005D5CED"/>
    <w:rsid w:val="005E2592"/>
    <w:rsid w:val="005F1A4C"/>
    <w:rsid w:val="00602EBB"/>
    <w:rsid w:val="00605688"/>
    <w:rsid w:val="006070AF"/>
    <w:rsid w:val="00607E6C"/>
    <w:rsid w:val="006101B1"/>
    <w:rsid w:val="006116F6"/>
    <w:rsid w:val="00614E44"/>
    <w:rsid w:val="0062270A"/>
    <w:rsid w:val="00622830"/>
    <w:rsid w:val="00623DA0"/>
    <w:rsid w:val="00630AEF"/>
    <w:rsid w:val="006325F8"/>
    <w:rsid w:val="00633463"/>
    <w:rsid w:val="00634C9A"/>
    <w:rsid w:val="00635E7A"/>
    <w:rsid w:val="006440E4"/>
    <w:rsid w:val="00647CC1"/>
    <w:rsid w:val="0066343B"/>
    <w:rsid w:val="00664777"/>
    <w:rsid w:val="00672017"/>
    <w:rsid w:val="00673052"/>
    <w:rsid w:val="006748A4"/>
    <w:rsid w:val="00681A31"/>
    <w:rsid w:val="00683E73"/>
    <w:rsid w:val="006A3141"/>
    <w:rsid w:val="006A5E34"/>
    <w:rsid w:val="006B2422"/>
    <w:rsid w:val="006B2B9A"/>
    <w:rsid w:val="006C1937"/>
    <w:rsid w:val="006F020C"/>
    <w:rsid w:val="00703C23"/>
    <w:rsid w:val="007043EE"/>
    <w:rsid w:val="007127B7"/>
    <w:rsid w:val="0071798E"/>
    <w:rsid w:val="00736DD1"/>
    <w:rsid w:val="007416B6"/>
    <w:rsid w:val="00746F48"/>
    <w:rsid w:val="0075404D"/>
    <w:rsid w:val="0076182A"/>
    <w:rsid w:val="00766261"/>
    <w:rsid w:val="00767B7E"/>
    <w:rsid w:val="007770C3"/>
    <w:rsid w:val="00784D24"/>
    <w:rsid w:val="00785FBA"/>
    <w:rsid w:val="00786E4A"/>
    <w:rsid w:val="007875EB"/>
    <w:rsid w:val="0079426B"/>
    <w:rsid w:val="007B0B91"/>
    <w:rsid w:val="007C4854"/>
    <w:rsid w:val="007D1682"/>
    <w:rsid w:val="007D312A"/>
    <w:rsid w:val="007D3F19"/>
    <w:rsid w:val="007E23B0"/>
    <w:rsid w:val="007E23E5"/>
    <w:rsid w:val="007F1991"/>
    <w:rsid w:val="007F2C2F"/>
    <w:rsid w:val="007F2F0B"/>
    <w:rsid w:val="007F55FC"/>
    <w:rsid w:val="007F5665"/>
    <w:rsid w:val="00800112"/>
    <w:rsid w:val="00804257"/>
    <w:rsid w:val="00813348"/>
    <w:rsid w:val="008253BB"/>
    <w:rsid w:val="0083706E"/>
    <w:rsid w:val="008408F6"/>
    <w:rsid w:val="008423A5"/>
    <w:rsid w:val="00850625"/>
    <w:rsid w:val="0085108E"/>
    <w:rsid w:val="00853718"/>
    <w:rsid w:val="00855221"/>
    <w:rsid w:val="00860645"/>
    <w:rsid w:val="00871F71"/>
    <w:rsid w:val="00872FD8"/>
    <w:rsid w:val="00884EEF"/>
    <w:rsid w:val="00885AF4"/>
    <w:rsid w:val="0089096B"/>
    <w:rsid w:val="008939CD"/>
    <w:rsid w:val="008A3BA4"/>
    <w:rsid w:val="008A5521"/>
    <w:rsid w:val="008B768C"/>
    <w:rsid w:val="008C4DB1"/>
    <w:rsid w:val="008C4EAF"/>
    <w:rsid w:val="008C5176"/>
    <w:rsid w:val="008C7FD0"/>
    <w:rsid w:val="008E1DE7"/>
    <w:rsid w:val="008E3C1F"/>
    <w:rsid w:val="008E707C"/>
    <w:rsid w:val="008F44F1"/>
    <w:rsid w:val="00900B08"/>
    <w:rsid w:val="00902155"/>
    <w:rsid w:val="00902FA3"/>
    <w:rsid w:val="00923564"/>
    <w:rsid w:val="0092392E"/>
    <w:rsid w:val="00924BF5"/>
    <w:rsid w:val="009315F9"/>
    <w:rsid w:val="00933499"/>
    <w:rsid w:val="00935C98"/>
    <w:rsid w:val="00946945"/>
    <w:rsid w:val="00951248"/>
    <w:rsid w:val="0095152F"/>
    <w:rsid w:val="00954C49"/>
    <w:rsid w:val="00955E37"/>
    <w:rsid w:val="00956903"/>
    <w:rsid w:val="0096159A"/>
    <w:rsid w:val="009670A9"/>
    <w:rsid w:val="00967589"/>
    <w:rsid w:val="0097099F"/>
    <w:rsid w:val="00971997"/>
    <w:rsid w:val="00971FFC"/>
    <w:rsid w:val="0098660A"/>
    <w:rsid w:val="009931C3"/>
    <w:rsid w:val="009B2C43"/>
    <w:rsid w:val="009B4EAE"/>
    <w:rsid w:val="009B7573"/>
    <w:rsid w:val="009C22F4"/>
    <w:rsid w:val="009C2A4B"/>
    <w:rsid w:val="009C2E98"/>
    <w:rsid w:val="009D1E25"/>
    <w:rsid w:val="009D3447"/>
    <w:rsid w:val="009D4711"/>
    <w:rsid w:val="009E05A9"/>
    <w:rsid w:val="009F1185"/>
    <w:rsid w:val="009F18CD"/>
    <w:rsid w:val="009F2A13"/>
    <w:rsid w:val="009F7527"/>
    <w:rsid w:val="00A00E39"/>
    <w:rsid w:val="00A04EB0"/>
    <w:rsid w:val="00A13CC1"/>
    <w:rsid w:val="00A16847"/>
    <w:rsid w:val="00A237D8"/>
    <w:rsid w:val="00A268C4"/>
    <w:rsid w:val="00A307CD"/>
    <w:rsid w:val="00A331C8"/>
    <w:rsid w:val="00A40A00"/>
    <w:rsid w:val="00A4142F"/>
    <w:rsid w:val="00A422EB"/>
    <w:rsid w:val="00A45BB7"/>
    <w:rsid w:val="00A45F93"/>
    <w:rsid w:val="00A56DF2"/>
    <w:rsid w:val="00A56E6E"/>
    <w:rsid w:val="00A625AC"/>
    <w:rsid w:val="00A67658"/>
    <w:rsid w:val="00A67AB5"/>
    <w:rsid w:val="00A70C56"/>
    <w:rsid w:val="00A733B2"/>
    <w:rsid w:val="00A741C2"/>
    <w:rsid w:val="00A9139A"/>
    <w:rsid w:val="00A91760"/>
    <w:rsid w:val="00A935BB"/>
    <w:rsid w:val="00A93B00"/>
    <w:rsid w:val="00A93C21"/>
    <w:rsid w:val="00AB17F9"/>
    <w:rsid w:val="00AB196A"/>
    <w:rsid w:val="00AB64C9"/>
    <w:rsid w:val="00AC3C6A"/>
    <w:rsid w:val="00AD5620"/>
    <w:rsid w:val="00AD656B"/>
    <w:rsid w:val="00AD7C1B"/>
    <w:rsid w:val="00AE16BA"/>
    <w:rsid w:val="00AE1952"/>
    <w:rsid w:val="00AE1EBE"/>
    <w:rsid w:val="00B03C9D"/>
    <w:rsid w:val="00B060AE"/>
    <w:rsid w:val="00B10517"/>
    <w:rsid w:val="00B14E76"/>
    <w:rsid w:val="00B161B8"/>
    <w:rsid w:val="00B2048C"/>
    <w:rsid w:val="00B26FD0"/>
    <w:rsid w:val="00B310B9"/>
    <w:rsid w:val="00B35F3F"/>
    <w:rsid w:val="00B36CBB"/>
    <w:rsid w:val="00B425E0"/>
    <w:rsid w:val="00B4330D"/>
    <w:rsid w:val="00B440AA"/>
    <w:rsid w:val="00B44B70"/>
    <w:rsid w:val="00B53C56"/>
    <w:rsid w:val="00B57DAF"/>
    <w:rsid w:val="00B7550D"/>
    <w:rsid w:val="00B77EA6"/>
    <w:rsid w:val="00B81598"/>
    <w:rsid w:val="00B841F1"/>
    <w:rsid w:val="00B944D6"/>
    <w:rsid w:val="00BB4DF0"/>
    <w:rsid w:val="00BB58F3"/>
    <w:rsid w:val="00BC289F"/>
    <w:rsid w:val="00BC2D50"/>
    <w:rsid w:val="00BC5361"/>
    <w:rsid w:val="00BC5460"/>
    <w:rsid w:val="00BC6B50"/>
    <w:rsid w:val="00BC7F88"/>
    <w:rsid w:val="00BD0E25"/>
    <w:rsid w:val="00BD61AE"/>
    <w:rsid w:val="00BF5BD6"/>
    <w:rsid w:val="00C01289"/>
    <w:rsid w:val="00C03E31"/>
    <w:rsid w:val="00C13612"/>
    <w:rsid w:val="00C33E72"/>
    <w:rsid w:val="00C354B2"/>
    <w:rsid w:val="00C35554"/>
    <w:rsid w:val="00C42709"/>
    <w:rsid w:val="00C533CC"/>
    <w:rsid w:val="00C55658"/>
    <w:rsid w:val="00C571E6"/>
    <w:rsid w:val="00C5751C"/>
    <w:rsid w:val="00C61BFC"/>
    <w:rsid w:val="00C62B85"/>
    <w:rsid w:val="00C65438"/>
    <w:rsid w:val="00C71A68"/>
    <w:rsid w:val="00C77420"/>
    <w:rsid w:val="00C80AF2"/>
    <w:rsid w:val="00C8558A"/>
    <w:rsid w:val="00C87FD8"/>
    <w:rsid w:val="00C91381"/>
    <w:rsid w:val="00C91CBB"/>
    <w:rsid w:val="00C97623"/>
    <w:rsid w:val="00CB4E70"/>
    <w:rsid w:val="00CB7089"/>
    <w:rsid w:val="00CC09B6"/>
    <w:rsid w:val="00CC666F"/>
    <w:rsid w:val="00CD08DF"/>
    <w:rsid w:val="00CD1E3F"/>
    <w:rsid w:val="00CE3FC4"/>
    <w:rsid w:val="00CE44F6"/>
    <w:rsid w:val="00CE49DA"/>
    <w:rsid w:val="00CE7B61"/>
    <w:rsid w:val="00CF226E"/>
    <w:rsid w:val="00CF5463"/>
    <w:rsid w:val="00D00095"/>
    <w:rsid w:val="00D02C33"/>
    <w:rsid w:val="00D0583D"/>
    <w:rsid w:val="00D114F0"/>
    <w:rsid w:val="00D12348"/>
    <w:rsid w:val="00D140EC"/>
    <w:rsid w:val="00D20620"/>
    <w:rsid w:val="00D254F7"/>
    <w:rsid w:val="00D26091"/>
    <w:rsid w:val="00D2685C"/>
    <w:rsid w:val="00D34E7C"/>
    <w:rsid w:val="00D35489"/>
    <w:rsid w:val="00D36AFE"/>
    <w:rsid w:val="00D4381D"/>
    <w:rsid w:val="00D51276"/>
    <w:rsid w:val="00D657CE"/>
    <w:rsid w:val="00D677E4"/>
    <w:rsid w:val="00D7035F"/>
    <w:rsid w:val="00DA634F"/>
    <w:rsid w:val="00DA65AC"/>
    <w:rsid w:val="00DB1913"/>
    <w:rsid w:val="00DB2609"/>
    <w:rsid w:val="00DC410D"/>
    <w:rsid w:val="00DC5A81"/>
    <w:rsid w:val="00DC68CA"/>
    <w:rsid w:val="00DC7CBA"/>
    <w:rsid w:val="00DD65D1"/>
    <w:rsid w:val="00DD73B7"/>
    <w:rsid w:val="00DE3EA0"/>
    <w:rsid w:val="00DF28BC"/>
    <w:rsid w:val="00DF34B9"/>
    <w:rsid w:val="00E01053"/>
    <w:rsid w:val="00E07ACF"/>
    <w:rsid w:val="00E331A1"/>
    <w:rsid w:val="00E33202"/>
    <w:rsid w:val="00E336A9"/>
    <w:rsid w:val="00E472B1"/>
    <w:rsid w:val="00E50624"/>
    <w:rsid w:val="00E568DF"/>
    <w:rsid w:val="00E612D5"/>
    <w:rsid w:val="00E64269"/>
    <w:rsid w:val="00E82267"/>
    <w:rsid w:val="00E83CD5"/>
    <w:rsid w:val="00E853CE"/>
    <w:rsid w:val="00E867B6"/>
    <w:rsid w:val="00EA010F"/>
    <w:rsid w:val="00ED1B63"/>
    <w:rsid w:val="00ED3C1F"/>
    <w:rsid w:val="00ED4085"/>
    <w:rsid w:val="00ED420E"/>
    <w:rsid w:val="00ED46A7"/>
    <w:rsid w:val="00ED6FBE"/>
    <w:rsid w:val="00EE2F57"/>
    <w:rsid w:val="00EE6E9B"/>
    <w:rsid w:val="00EF37AA"/>
    <w:rsid w:val="00EF4C34"/>
    <w:rsid w:val="00EF77C6"/>
    <w:rsid w:val="00F05438"/>
    <w:rsid w:val="00F1361C"/>
    <w:rsid w:val="00F156F0"/>
    <w:rsid w:val="00F160C7"/>
    <w:rsid w:val="00F2408F"/>
    <w:rsid w:val="00F240E9"/>
    <w:rsid w:val="00F36D8F"/>
    <w:rsid w:val="00F417B1"/>
    <w:rsid w:val="00F45853"/>
    <w:rsid w:val="00F602DF"/>
    <w:rsid w:val="00F645B0"/>
    <w:rsid w:val="00F65924"/>
    <w:rsid w:val="00F70422"/>
    <w:rsid w:val="00F754A1"/>
    <w:rsid w:val="00F81814"/>
    <w:rsid w:val="00F81FD9"/>
    <w:rsid w:val="00F841AA"/>
    <w:rsid w:val="00F84A94"/>
    <w:rsid w:val="00F87E96"/>
    <w:rsid w:val="00F9308F"/>
    <w:rsid w:val="00F9726D"/>
    <w:rsid w:val="00FA23E8"/>
    <w:rsid w:val="00FA487F"/>
    <w:rsid w:val="00FB66F5"/>
    <w:rsid w:val="00FD3223"/>
    <w:rsid w:val="00FD3CC1"/>
    <w:rsid w:val="00FD6410"/>
    <w:rsid w:val="00FF1E02"/>
    <w:rsid w:val="00FF30B4"/>
    <w:rsid w:val="0A2032A3"/>
    <w:rsid w:val="0B8A37D8"/>
    <w:rsid w:val="10C055FF"/>
    <w:rsid w:val="118107EC"/>
    <w:rsid w:val="11DD6519"/>
    <w:rsid w:val="16BB723D"/>
    <w:rsid w:val="18015F3F"/>
    <w:rsid w:val="1A686BD3"/>
    <w:rsid w:val="1BE8440E"/>
    <w:rsid w:val="1D155CEE"/>
    <w:rsid w:val="20F57F95"/>
    <w:rsid w:val="240371BF"/>
    <w:rsid w:val="25711CC6"/>
    <w:rsid w:val="25C741E6"/>
    <w:rsid w:val="27842671"/>
    <w:rsid w:val="29FD04D3"/>
    <w:rsid w:val="2ABE7A3E"/>
    <w:rsid w:val="2CA234A8"/>
    <w:rsid w:val="2EFA178C"/>
    <w:rsid w:val="30B46D73"/>
    <w:rsid w:val="319F7F4E"/>
    <w:rsid w:val="383D272C"/>
    <w:rsid w:val="39AE70AB"/>
    <w:rsid w:val="3C0C0783"/>
    <w:rsid w:val="3F9F3A96"/>
    <w:rsid w:val="454A4722"/>
    <w:rsid w:val="45D4223E"/>
    <w:rsid w:val="48BF60AB"/>
    <w:rsid w:val="493C27E9"/>
    <w:rsid w:val="496F39ED"/>
    <w:rsid w:val="49FF41D3"/>
    <w:rsid w:val="4BE068DB"/>
    <w:rsid w:val="4BF6002B"/>
    <w:rsid w:val="4CE64EAB"/>
    <w:rsid w:val="4ECE2238"/>
    <w:rsid w:val="51DB4B86"/>
    <w:rsid w:val="55333C3E"/>
    <w:rsid w:val="5B3B68B4"/>
    <w:rsid w:val="64CA39A1"/>
    <w:rsid w:val="69630ADE"/>
    <w:rsid w:val="6C4A05C8"/>
    <w:rsid w:val="6D3B1A89"/>
    <w:rsid w:val="71BF4EC2"/>
    <w:rsid w:val="72734D90"/>
    <w:rsid w:val="73ED5DA0"/>
    <w:rsid w:val="7412278C"/>
    <w:rsid w:val="79E7B28D"/>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字符"/>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字符"/>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字符"/>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字符"/>
    <w:basedOn w:val="13"/>
    <w:link w:val="3"/>
    <w:qFormat/>
    <w:uiPriority w:val="9"/>
    <w:rPr>
      <w:rFonts w:ascii="Times New Roman" w:hAnsi="Times New Roman"/>
      <w:b/>
      <w:bCs/>
      <w:kern w:val="44"/>
      <w:sz w:val="44"/>
      <w:szCs w:val="44"/>
    </w:rPr>
  </w:style>
  <w:style w:type="character" w:customStyle="1" w:styleId="25">
    <w:name w:val="标题 2 字符"/>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字符"/>
    <w:basedOn w:val="13"/>
    <w:link w:val="7"/>
    <w:semiHidden/>
    <w:qFormat/>
    <w:uiPriority w:val="99"/>
    <w:rPr>
      <w:rFonts w:ascii="Times New Roman" w:hAnsi="Times New Roman"/>
      <w:kern w:val="2"/>
      <w:sz w:val="18"/>
      <w:szCs w:val="18"/>
    </w:rPr>
  </w:style>
  <w:style w:type="character" w:customStyle="1" w:styleId="28">
    <w:name w:val="标题 3 字符"/>
    <w:basedOn w:val="13"/>
    <w:link w:val="5"/>
    <w:qFormat/>
    <w:uiPriority w:val="9"/>
    <w:rPr>
      <w:rFonts w:ascii="Times New Roman" w:hAnsi="Times New Roman"/>
      <w:b/>
      <w:bCs/>
      <w:kern w:val="2"/>
      <w:sz w:val="32"/>
      <w:szCs w:val="32"/>
    </w:rPr>
  </w:style>
  <w:style w:type="paragraph" w:customStyle="1" w:styleId="29">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0">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6.xml"/><Relationship Id="rId13" Type="http://schemas.openxmlformats.org/officeDocument/2006/relationships/chart" Target="charts/chart5.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5.xml"/><Relationship Id="rId3" Type="http://schemas.microsoft.com/office/2011/relationships/chartStyle" Target="style5.xml"/><Relationship Id="rId2" Type="http://schemas.openxmlformats.org/officeDocument/2006/relationships/chartUserShapes" Target="../drawings/drawing3.xml"/><Relationship Id="rId1" Type="http://schemas.openxmlformats.org/officeDocument/2006/relationships/oleObject" Target="file:///E:\&#24037;&#20316;&#25991;&#20214;&#22841;\&#39044;&#31639;&#12289;&#20915;&#31639;&#20844;&#24320;\2021&#24180;&#20915;&#31639;&#20844;&#24320;&#26609;&#29366;&#39292;&#29366;&#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E:\&#24037;&#20316;&#25991;&#20214;&#22841;\&#39044;&#31639;&#12289;&#20915;&#31639;&#20844;&#24320;\2021&#24180;&#20915;&#31639;&#20844;&#24320;&#26609;&#29366;&#39292;&#29366;&#2227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24037;&#20316;&#25991;&#20214;&#22841;\&#39044;&#31639;&#12289;&#20915;&#31639;&#20844;&#24320;\2021&#24180;&#20915;&#31639;&#20844;&#24320;&#26609;&#29366;&#39292;&#29366;&#22270;.xlsx" TargetMode="External"/></Relationships>
</file>

<file path=word/charts/_rels/chart4.xml.rels><?xml version="1.0" encoding="UTF-8" standalone="yes"?>
<Relationships xmlns="http://schemas.openxmlformats.org/package/2006/relationships"><Relationship Id="rId4" Type="http://schemas.microsoft.com/office/2011/relationships/chartColorStyle" Target="colors4.xml"/><Relationship Id="rId3" Type="http://schemas.microsoft.com/office/2011/relationships/chartStyle" Target="style4.xml"/><Relationship Id="rId2" Type="http://schemas.openxmlformats.org/officeDocument/2006/relationships/chartUserShapes" Target="../drawings/drawing2.xml"/><Relationship Id="rId1" Type="http://schemas.openxmlformats.org/officeDocument/2006/relationships/oleObject" Target="file:///E:\&#24037;&#20316;&#25991;&#20214;&#22841;\&#39044;&#31639;&#12289;&#20915;&#31639;&#20844;&#24320;\2021&#24180;&#20915;&#31639;&#20844;&#24320;&#26609;&#29366;&#39292;&#29366;&#22270;.xlsx" TargetMode="External"/></Relationships>
</file>

<file path=word/charts/_rels/chart5.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chartUserShapes" Target="../drawings/drawing1.xml"/><Relationship Id="rId1" Type="http://schemas.openxmlformats.org/officeDocument/2006/relationships/oleObject" Target="file:///E:\&#24037;&#20316;&#25991;&#20214;&#22841;\&#39044;&#31639;&#12289;&#20915;&#31639;&#20844;&#24320;\2021&#24180;&#20915;&#31639;&#20844;&#24320;&#26609;&#29366;&#39292;&#29366;&#2227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E:\&#24037;&#20316;&#25991;&#20214;&#22841;\&#39044;&#31639;&#12289;&#20915;&#31639;&#20844;&#24320;\2021&#24180;&#20915;&#31639;&#20844;&#24320;&#26609;&#29366;&#39292;&#29366;&#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stacked"/>
        <c:varyColors val="0"/>
        <c:ser>
          <c:idx val="0"/>
          <c:order val="0"/>
          <c:tx>
            <c:strRef>
              <c:f>'[2021年决算公开柱状饼状图.xlsx]2022年'!$D$18</c:f>
              <c:strCache>
                <c:ptCount val="1"/>
                <c:pt idx="0">
                  <c:v>收、支决算总计变动情况图</c:v>
                </c:pt>
              </c:strCache>
            </c:strRef>
          </c:tx>
          <c:spPr>
            <a:solidFill>
              <a:schemeClr val="accent1"/>
            </a:solidFill>
            <a:ln>
              <a:noFill/>
            </a:ln>
            <a:effectLst>
              <a:outerShdw blurRad="50800" dist="38100" dir="5400000" algn="ctr" rotWithShape="0">
                <a:srgbClr val="000000">
                  <a:alpha val="43000"/>
                </a:srgbClr>
              </a:outerShdw>
            </a:effectLst>
          </c:spPr>
          <c:invertIfNegative val="0"/>
          <c:dPt>
            <c:idx val="0"/>
            <c:invertIfNegative val="0"/>
            <c:bubble3D val="0"/>
            <c:spPr>
              <a:solidFill>
                <a:schemeClr val="bg2">
                  <a:lumMod val="75000"/>
                </a:schemeClr>
              </a:solidFill>
              <a:ln>
                <a:noFill/>
              </a:ln>
              <a:effectLst>
                <a:outerShdw blurRad="50800" dist="38100" dir="5400000" algn="ctr" rotWithShape="0">
                  <a:srgbClr val="000000">
                    <a:alpha val="43000"/>
                  </a:srgbClr>
                </a:outerShdw>
              </a:effectLst>
            </c:spPr>
          </c:dPt>
          <c:dPt>
            <c:idx val="1"/>
            <c:invertIfNegative val="0"/>
            <c:bubble3D val="0"/>
            <c:spPr>
              <a:solidFill>
                <a:schemeClr val="accent6">
                  <a:lumMod val="60000"/>
                  <a:lumOff val="40000"/>
                </a:schemeClr>
              </a:solidFill>
              <a:ln>
                <a:noFill/>
              </a:ln>
              <a:effectLst>
                <a:outerShdw blurRad="50800" dist="38100" dir="5400000" algn="ctr" rotWithShape="0">
                  <a:srgbClr val="000000">
                    <a:alpha val="43000"/>
                  </a:srgbClr>
                </a:outerShdw>
              </a:effectLst>
            </c:spPr>
          </c:dPt>
          <c:dLbls>
            <c:dLbl>
              <c:idx val="0"/>
              <c:layout>
                <c:manualLayout>
                  <c:x val="-0.00625"/>
                  <c:y val="-0.37847222222222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295138888888889"/>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'[2021年决算公开柱状饼状图.xlsx]2022年'!$C$19:$C$20</c:f>
              <c:strCache>
                <c:ptCount val="2"/>
                <c:pt idx="0">
                  <c:v>2021年</c:v>
                </c:pt>
                <c:pt idx="1">
                  <c:v>2022年</c:v>
                </c:pt>
              </c:strCache>
            </c:strRef>
          </c:cat>
          <c:val>
            <c:numRef>
              <c:f>'[2021年决算公开柱状饼状图.xlsx]2022年'!$D$19:$D$20</c:f>
              <c:numCache>
                <c:formatCode>General</c:formatCode>
                <c:ptCount val="2"/>
                <c:pt idx="0">
                  <c:v>8549.23</c:v>
                </c:pt>
                <c:pt idx="1">
                  <c:v>6618.16</c:v>
                </c:pt>
              </c:numCache>
            </c:numRef>
          </c:val>
        </c:ser>
        <c:dLbls>
          <c:showLegendKey val="0"/>
          <c:showVal val="1"/>
          <c:showCatName val="0"/>
          <c:showSerName val="0"/>
          <c:showPercent val="0"/>
          <c:showBubbleSize val="0"/>
        </c:dLbls>
        <c:gapWidth val="272"/>
        <c:overlap val="98"/>
        <c:axId val="435455058"/>
        <c:axId val="693994106"/>
      </c:barChart>
      <c:catAx>
        <c:axId val="43545505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3994106"/>
        <c:crosses val="autoZero"/>
        <c:auto val="1"/>
        <c:lblAlgn val="ctr"/>
        <c:lblOffset val="100"/>
        <c:noMultiLvlLbl val="0"/>
      </c:catAx>
      <c:valAx>
        <c:axId val="69399410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545505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b="0"/>
      </a:pPr>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b="1">
                <a:solidFill>
                  <a:schemeClr val="tx1">
                    <a:lumMod val="75000"/>
                    <a:lumOff val="25000"/>
                  </a:schemeClr>
                </a:solidFill>
                <a:uFillTx/>
              </a:rPr>
              <a:t>收入决算结构图</a:t>
            </a:r>
            <a:endParaRPr lang="zh-CN" altLang="en-US" b="1">
              <a:solidFill>
                <a:schemeClr val="tx1">
                  <a:lumMod val="75000"/>
                  <a:lumOff val="25000"/>
                </a:schemeClr>
              </a:solidFill>
              <a:uFillTx/>
            </a:endParaRPr>
          </a:p>
        </c:rich>
      </c:tx>
      <c:layout/>
      <c:overlay val="0"/>
      <c:spPr>
        <a:noFill/>
        <a:ln>
          <a:noFill/>
        </a:ln>
        <a:effectLst/>
      </c:spPr>
    </c:title>
    <c:autoTitleDeleted val="0"/>
    <c:plotArea>
      <c:layout/>
      <c:pieChart>
        <c:varyColors val="1"/>
        <c:ser>
          <c:idx val="0"/>
          <c:order val="0"/>
          <c:tx>
            <c:strRef>
              <c:f>'[2021年决算公开柱状饼状图.xlsx]2022年'!$D$37</c:f>
              <c:strCache>
                <c:ptCount val="1"/>
                <c:pt idx="0">
                  <c:v>收入决算结构图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1"/>
              <c:layout>
                <c:manualLayout>
                  <c:x val="-0.03125"/>
                  <c:y val="-0.0069444444444444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854166666666667"/>
                  <c:y val="-0.0034722222222222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'[2021年决算公开柱状饼状图.xlsx]2022年'!$C$38:$C$40</c:f>
              <c:strCache>
                <c:ptCount val="3"/>
                <c:pt idx="0">
                  <c:v>财政拨款收入</c:v>
                </c:pt>
                <c:pt idx="1">
                  <c:v>经营收入</c:v>
                </c:pt>
                <c:pt idx="2">
                  <c:v>其他收入</c:v>
                </c:pt>
              </c:strCache>
            </c:strRef>
          </c:cat>
          <c:val>
            <c:numRef>
              <c:f>'[2021年决算公开柱状饼状图.xlsx]2022年'!$D$38:$D$40</c:f>
              <c:numCache>
                <c:formatCode>0.00%</c:formatCode>
                <c:ptCount val="3"/>
                <c:pt idx="0">
                  <c:v>0.952</c:v>
                </c:pt>
                <c:pt idx="1">
                  <c:v>0.0176</c:v>
                </c:pt>
                <c:pt idx="2">
                  <c:v>0.0304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view3D>
      <c:rotX val="30"/>
      <c:rotY val="0"/>
      <c:depthPercent val="100"/>
      <c:rAngAx val="0"/>
    </c:view3D>
    <c:floor>
      <c:thickness val="0"/>
      <c:spPr>
        <a:noFill/>
        <a:ln>
          <a:noFill/>
        </a:ln>
        <a:effectLst/>
      </c:spPr>
    </c:floor>
    <c:sideWall>
      <c:thickness val="0"/>
      <c:spPr>
        <a:noFill/>
        <a:ln>
          <a:noFill/>
        </a:ln>
        <a:effectLst/>
      </c:spPr>
    </c:sideWall>
    <c:backWall>
      <c:thickness val="0"/>
      <c:spPr>
        <a:noFill/>
        <a:ln>
          <a:noFill/>
        </a:ln>
        <a:effectLst/>
      </c:spPr>
    </c:backWall>
    <c:plotArea>
      <c:layout/>
      <c:pie3DChart>
        <c:varyColors val="1"/>
        <c:ser>
          <c:idx val="0"/>
          <c:order val="0"/>
          <c:tx>
            <c:strRef>
              <c:f>'[2021年决算公开柱状饼状图.xlsx]2022年'!$D$62</c:f>
              <c:strCache>
                <c:ptCount val="1"/>
                <c:pt idx="0">
                  <c:v>支出决算结构图</c:v>
                </c:pt>
              </c:strCache>
            </c:strRef>
          </c:tx>
          <c:spPr>
            <a:solidFill>
              <a:schemeClr val="accent6">
                <a:lumMod val="75000"/>
              </a:schemeClr>
            </a:solidFill>
            <a:scene3d>
              <a:camera prst="orthographicFront"/>
              <a:lightRig rig="threePt" dir="t"/>
            </a:scene3d>
            <a:sp3d contourW="25400"/>
          </c:spPr>
          <c:explosion val="0"/>
          <c:dPt>
            <c:idx val="0"/>
            <c:bubble3D val="0"/>
            <c:spPr>
              <a:gradFill>
                <a:gsLst>
                  <a:gs pos="0">
                    <a:srgbClr val="9EE256"/>
                  </a:gs>
                  <a:gs pos="100000">
                    <a:srgbClr val="52762D"/>
                  </a:gs>
                </a:gsLst>
                <a:lin ang="0" scaled="0"/>
              </a:gradFill>
              <a:ln w="25400">
                <a:solidFill>
                  <a:schemeClr val="lt1"/>
                </a:solidFill>
              </a:ln>
              <a:effectLst>
                <a:outerShdw blurRad="215900" dist="127000" dir="10200000" sx="67000" sy="67000" algn="ctr" rotWithShape="0">
                  <a:srgbClr val="000000">
                    <a:alpha val="27000"/>
                  </a:srgbClr>
                </a:outerShdw>
              </a:effectLst>
              <a:scene3d>
                <a:camera prst="orthographicFront"/>
                <a:lightRig rig="threePt" dir="t"/>
              </a:scene3d>
              <a:sp3d contourW="25400">
                <a:contourClr>
                  <a:schemeClr val="lt1"/>
                </a:contourClr>
              </a:sp3d>
            </c:spPr>
          </c:dPt>
          <c:dPt>
            <c:idx val="1"/>
            <c:bubble3D val="0"/>
            <c:spPr>
              <a:solidFill>
                <a:schemeClr val="accent6">
                  <a:lumMod val="75000"/>
                </a:schemeClr>
              </a:solidFill>
              <a:ln w="25400">
                <a:solidFill>
                  <a:schemeClr val="lt1"/>
                </a:solidFill>
              </a:ln>
              <a:effectLst/>
              <a:scene3d>
                <a:camera prst="orthographicFront"/>
                <a:lightRig rig="threePt" dir="t"/>
              </a:scene3d>
              <a:sp3d contourW="25400">
                <a:contourClr>
                  <a:schemeClr val="lt1"/>
                </a:contourClr>
              </a:sp3d>
            </c:spPr>
          </c:dPt>
          <c:dPt>
            <c:idx val="2"/>
            <c:bubble3D val="0"/>
            <c:spPr>
              <a:solidFill>
                <a:schemeClr val="tx1"/>
              </a:solidFill>
              <a:ln w="25400">
                <a:solidFill>
                  <a:schemeClr val="lt1"/>
                </a:solidFill>
              </a:ln>
              <a:effectLst/>
              <a:scene3d>
                <a:camera prst="orthographicFront"/>
                <a:lightRig rig="threePt" dir="t"/>
              </a:scene3d>
              <a:sp3d contourW="25400">
                <a:contourClr>
                  <a:schemeClr val="lt1"/>
                </a:contourClr>
              </a:sp3d>
            </c:spPr>
          </c:dPt>
          <c:dLbls>
            <c:dLbl>
              <c:idx val="1"/>
              <c:layout>
                <c:manualLayout>
                  <c:x val="-0.01875"/>
                  <c:y val="0"/>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3125"/>
                  <c:y val="0"/>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'[2021年决算公开柱状饼状图.xlsx]2022年'!$C$63:$C$65</c:f>
              <c:strCache>
                <c:ptCount val="3"/>
                <c:pt idx="0">
                  <c:v>基本支出</c:v>
                </c:pt>
                <c:pt idx="1">
                  <c:v>项目支出</c:v>
                </c:pt>
                <c:pt idx="2">
                  <c:v>经营支出</c:v>
                </c:pt>
              </c:strCache>
            </c:strRef>
          </c:cat>
          <c:val>
            <c:numRef>
              <c:f>'[2021年决算公开柱状饼状图.xlsx]2022年'!$D$63:$D$65</c:f>
              <c:numCache>
                <c:formatCode>0.00%</c:formatCode>
                <c:ptCount val="3"/>
                <c:pt idx="0">
                  <c:v>0.9503</c:v>
                </c:pt>
                <c:pt idx="1">
                  <c:v>0.0396</c:v>
                </c:pt>
                <c:pt idx="2">
                  <c:v>0.0101</c:v>
                </c:pt>
              </c:numCache>
            </c:numRef>
          </c:val>
        </c:ser>
        <c:dLbls>
          <c:showLegendKey val="0"/>
          <c:showVal val="1"/>
          <c:showCatName val="0"/>
          <c:showSerName val="0"/>
          <c:showPercent val="0"/>
          <c:showBubbleSize val="0"/>
        </c:dLbls>
      </c:pie3D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b="1"/>
              <a:t>财政拨款收、支决算总计变动情况</a:t>
            </a:r>
            <a:endParaRPr lang="zh-CN" altLang="en-US" b="1"/>
          </a:p>
        </c:rich>
      </c:tx>
      <c:layout/>
      <c:overlay val="0"/>
      <c:spPr>
        <a:noFill/>
        <a:ln>
          <a:noFill/>
        </a:ln>
        <a:effectLst/>
      </c:spPr>
    </c:title>
    <c:autoTitleDeleted val="0"/>
    <c:plotArea>
      <c:layout/>
      <c:barChart>
        <c:barDir val="col"/>
        <c:grouping val="stacked"/>
        <c:varyColors val="0"/>
        <c:ser>
          <c:idx val="0"/>
          <c:order val="0"/>
          <c:tx>
            <c:strRef>
              <c:f>'[2021年决算公开柱状饼状图.xlsx]2022年'!$D$80</c:f>
              <c:strCache>
                <c:ptCount val="1"/>
                <c:pt idx="0">
                  <c:v>财政拨款收、支决算总计变动情况</c:v>
                </c:pt>
              </c:strCache>
            </c:strRef>
          </c:tx>
          <c:spPr>
            <a:gradFill>
              <a:gsLst>
                <a:gs pos="50000">
                  <a:srgbClr val="ED8D72"/>
                </a:gs>
                <a:gs pos="0">
                  <a:srgbClr val="F3B3A1"/>
                </a:gs>
                <a:gs pos="100000">
                  <a:srgbClr val="E66643"/>
                </a:gs>
              </a:gsLst>
              <a:lin scaled="1"/>
            </a:gradFill>
            <a:ln>
              <a:noFill/>
            </a:ln>
            <a:effectLst/>
          </c:spPr>
          <c:invertIfNegative val="0"/>
          <c:dPt>
            <c:idx val="1"/>
            <c:invertIfNegative val="0"/>
            <c:bubble3D val="0"/>
            <c:spPr>
              <a:gradFill>
                <a:gsLst>
                  <a:gs pos="0">
                    <a:srgbClr val="56A0B9"/>
                  </a:gs>
                  <a:gs pos="100000">
                    <a:srgbClr val="5DBDC3"/>
                  </a:gs>
                </a:gsLst>
                <a:lin scaled="1"/>
              </a:gradFill>
              <a:ln>
                <a:noFill/>
              </a:ln>
              <a:effectLst/>
            </c:spPr>
          </c:dPt>
          <c:dLbls>
            <c:dLbl>
              <c:idx val="0"/>
              <c:layout>
                <c:manualLayout>
                  <c:x val="0.00208333333333333"/>
                  <c:y val="-0.36458333333333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295138888888889"/>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'[2021年决算公开柱状饼状图.xlsx]2022年'!$C$81:$C$82</c:f>
              <c:strCache>
                <c:ptCount val="2"/>
                <c:pt idx="0">
                  <c:v>2021年</c:v>
                </c:pt>
                <c:pt idx="1">
                  <c:v>2022年</c:v>
                </c:pt>
              </c:strCache>
            </c:strRef>
          </c:cat>
          <c:val>
            <c:numRef>
              <c:f>'[2021年决算公开柱状饼状图.xlsx]2022年'!$D$81:$D$82</c:f>
              <c:numCache>
                <c:formatCode>General</c:formatCode>
                <c:ptCount val="2"/>
                <c:pt idx="0">
                  <c:v>7666.45</c:v>
                </c:pt>
                <c:pt idx="1">
                  <c:v>6296.89</c:v>
                </c:pt>
              </c:numCache>
            </c:numRef>
          </c:val>
        </c:ser>
        <c:dLbls>
          <c:showLegendKey val="0"/>
          <c:showVal val="1"/>
          <c:showCatName val="0"/>
          <c:showSerName val="0"/>
          <c:showPercent val="0"/>
          <c:showBubbleSize val="0"/>
        </c:dLbls>
        <c:gapWidth val="350"/>
        <c:overlap val="100"/>
        <c:axId val="818150828"/>
        <c:axId val="694261912"/>
      </c:barChart>
      <c:catAx>
        <c:axId val="81815082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4261912"/>
        <c:crosses val="autoZero"/>
        <c:auto val="1"/>
        <c:lblAlgn val="ctr"/>
        <c:lblOffset val="100"/>
        <c:noMultiLvlLbl val="0"/>
      </c:catAx>
      <c:valAx>
        <c:axId val="6942619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81508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b="1"/>
              <a:t>一般公共预算财政拨款支出决算变动情况</a:t>
            </a:r>
            <a:endParaRPr lang="zh-CN" altLang="en-US" b="1"/>
          </a:p>
        </c:rich>
      </c:tx>
      <c:layout/>
      <c:overlay val="0"/>
      <c:spPr>
        <a:noFill/>
        <a:ln>
          <a:noFill/>
        </a:ln>
        <a:effectLst/>
      </c:spPr>
    </c:title>
    <c:autoTitleDeleted val="0"/>
    <c:plotArea>
      <c:layout/>
      <c:barChart>
        <c:barDir val="col"/>
        <c:grouping val="stacked"/>
        <c:varyColors val="0"/>
        <c:ser>
          <c:idx val="0"/>
          <c:order val="0"/>
          <c:tx>
            <c:strRef>
              <c:f>'[2021年决算公开柱状饼状图.xlsx]2022年'!$D$96</c:f>
              <c:strCache>
                <c:ptCount val="1"/>
                <c:pt idx="0">
                  <c:v>一般公共预算财政拨款支出决算变动情况</c:v>
                </c:pt>
              </c:strCache>
            </c:strRef>
          </c:tx>
          <c:spPr>
            <a:solidFill>
              <a:schemeClr val="accent1"/>
            </a:solidFill>
            <a:ln>
              <a:noFill/>
            </a:ln>
            <a:effectLst/>
          </c:spPr>
          <c:invertIfNegative val="0"/>
          <c:dPt>
            <c:idx val="0"/>
            <c:invertIfNegative val="0"/>
            <c:bubble3D val="0"/>
            <c:spPr>
              <a:solidFill>
                <a:schemeClr val="accent4">
                  <a:lumMod val="60000"/>
                  <a:lumOff val="40000"/>
                </a:schemeClr>
              </a:solidFill>
              <a:ln>
                <a:noFill/>
              </a:ln>
              <a:effectLst/>
            </c:spPr>
          </c:dPt>
          <c:dPt>
            <c:idx val="1"/>
            <c:invertIfNegative val="0"/>
            <c:bubble3D val="0"/>
            <c:spPr>
              <a:solidFill>
                <a:schemeClr val="accent3"/>
              </a:solidFill>
              <a:ln>
                <a:noFill/>
              </a:ln>
              <a:effectLst/>
            </c:spPr>
          </c:dPt>
          <c:dLbls>
            <c:dLbl>
              <c:idx val="0"/>
              <c:layout>
                <c:manualLayout>
                  <c:x val="0.00833333333333333"/>
                  <c:y val="-0.361111111111111"/>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416666666666667"/>
                  <c:y val="-0.30208333333333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'[2021年决算公开柱状饼状图.xlsx]2022年'!$C$97:$C$98</c:f>
              <c:strCache>
                <c:ptCount val="2"/>
                <c:pt idx="0">
                  <c:v>2021年</c:v>
                </c:pt>
                <c:pt idx="1">
                  <c:v>2022年</c:v>
                </c:pt>
              </c:strCache>
            </c:strRef>
          </c:cat>
          <c:val>
            <c:numRef>
              <c:f>'[2021年决算公开柱状饼状图.xlsx]2022年'!$D$97:$D$98</c:f>
              <c:numCache>
                <c:formatCode>General</c:formatCode>
                <c:ptCount val="2"/>
                <c:pt idx="0">
                  <c:v>7666.45</c:v>
                </c:pt>
                <c:pt idx="1">
                  <c:v>6296.89</c:v>
                </c:pt>
              </c:numCache>
            </c:numRef>
          </c:val>
        </c:ser>
        <c:dLbls>
          <c:showLegendKey val="0"/>
          <c:showVal val="1"/>
          <c:showCatName val="0"/>
          <c:showSerName val="0"/>
          <c:showPercent val="0"/>
          <c:showBubbleSize val="0"/>
        </c:dLbls>
        <c:gapWidth val="350"/>
        <c:overlap val="100"/>
        <c:axId val="88813858"/>
        <c:axId val="231335380"/>
      </c:barChart>
      <c:catAx>
        <c:axId val="8881385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1335380"/>
        <c:crosses val="autoZero"/>
        <c:auto val="1"/>
        <c:lblAlgn val="ctr"/>
        <c:lblOffset val="100"/>
        <c:noMultiLvlLbl val="0"/>
      </c:catAx>
      <c:valAx>
        <c:axId val="2313353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81385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cap="none" spc="20" baseline="0">
                <a:solidFill>
                  <a:schemeClr val="tx1">
                    <a:lumMod val="50000"/>
                    <a:lumOff val="50000"/>
                  </a:schemeClr>
                </a:solidFill>
                <a:latin typeface="+mn-lt"/>
                <a:ea typeface="+mn-ea"/>
                <a:cs typeface="+mn-cs"/>
              </a:defRPr>
            </a:pPr>
            <a:r>
              <a:rPr lang="zh-CN" altLang="en-US" b="1">
                <a:solidFill>
                  <a:schemeClr val="tx1">
                    <a:lumMod val="75000"/>
                    <a:lumOff val="25000"/>
                  </a:schemeClr>
                </a:solidFill>
              </a:rPr>
              <a:t>一般公共预算财政拨款支出决算结构</a:t>
            </a:r>
            <a:endParaRPr lang="zh-CN" altLang="en-US" b="1">
              <a:solidFill>
                <a:schemeClr val="tx1">
                  <a:lumMod val="75000"/>
                  <a:lumOff val="25000"/>
                </a:schemeClr>
              </a:solidFill>
            </a:endParaRPr>
          </a:p>
        </c:rich>
      </c:tx>
      <c:layout/>
      <c:overlay val="0"/>
      <c:spPr>
        <a:noFill/>
        <a:ln>
          <a:noFill/>
        </a:ln>
        <a:effectLst/>
      </c:spPr>
    </c:title>
    <c:autoTitleDeleted val="0"/>
    <c:plotArea>
      <c:layout/>
      <c:pieChart>
        <c:varyColors val="1"/>
        <c:ser>
          <c:idx val="0"/>
          <c:order val="0"/>
          <c:tx>
            <c:strRef>
              <c:f>'[2021年决算公开柱状饼状图.xlsx]2022年'!$D$110</c:f>
              <c:strCache>
                <c:ptCount val="1"/>
                <c:pt idx="0">
                  <c:v>一般公共预算财政拨款支出决算结构</c:v>
                </c:pt>
              </c:strCache>
            </c:strRef>
          </c:tx>
          <c:spPr/>
          <c:explosion val="0"/>
          <c:dPt>
            <c:idx val="0"/>
            <c:bubble3D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dPt>
          <c:dPt>
            <c:idx val="1"/>
            <c:bubble3D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dPt>
          <c:dPt>
            <c:idx val="2"/>
            <c:bubble3D val="0"/>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a:outerShdw blurRad="40000" dist="20000" dir="5400000" rotWithShape="0">
                  <a:srgbClr val="000000">
                    <a:alpha val="38000"/>
                  </a:srgbClr>
                </a:outerShdw>
              </a:effectLst>
            </c:spPr>
          </c:dPt>
          <c:dPt>
            <c:idx val="3"/>
            <c:bubble3D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chemeClr>
                </a:solidFill>
                <a:round/>
              </a:ln>
              <a:effectLst>
                <a:outerShdw blurRad="40000" dist="20000" dir="5400000" rotWithShape="0">
                  <a:srgbClr val="000000">
                    <a:alpha val="38000"/>
                  </a:srgbClr>
                </a:outerShdw>
              </a:effectLst>
            </c:spPr>
          </c:dPt>
          <c:dPt>
            <c:idx val="4"/>
            <c:bubble3D val="0"/>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chemeClr>
                </a:solidFill>
                <a:round/>
              </a:ln>
              <a:effectLst>
                <a:outerShdw blurRad="40000" dist="20000" dir="5400000" rotWithShape="0">
                  <a:srgbClr val="000000">
                    <a:alpha val="38000"/>
                  </a:srgbClr>
                </a:outerShdw>
              </a:effectLst>
            </c:spPr>
          </c:dPt>
          <c:dLbls>
            <c:dLbl>
              <c:idx val="0"/>
              <c:layout>
                <c:manualLayout>
                  <c:x val="0"/>
                  <c:y val="0.0173611111111111"/>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r>
                      <a:rPr lang="zh-CN" altLang="en-US"/>
                      <a:t>科学技术</a:t>
                    </a:r>
                    <a:endParaRPr lang="zh-CN" altLang="en-US"/>
                  </a:p>
                  <a:p>
                    <a:pPr>
                      <a:defRPr lang="zh-CN" sz="900" b="0" i="0" u="none" strike="noStrike" kern="1200" baseline="0">
                        <a:solidFill>
                          <a:schemeClr val="tx1">
                            <a:lumMod val="65000"/>
                            <a:lumOff val="35000"/>
                          </a:schemeClr>
                        </a:solidFill>
                        <a:latin typeface="+mn-lt"/>
                        <a:ea typeface="+mn-ea"/>
                        <a:cs typeface="+mn-cs"/>
                      </a:defRPr>
                    </a:pPr>
                    <a:r>
                      <a:rPr lang="en-US" altLang="zh-CN"/>
                      <a:t>0.79%</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0173611111111111"/>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r>
                      <a:rPr lang="zh-CN" altLang="en-US"/>
                      <a:t>社会保障和就业</a:t>
                    </a:r>
                    <a:r>
                      <a:rPr lang="en-US" altLang="zh-CN"/>
                      <a:t>31.34%</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tx>
                <c:rich>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r>
                      <a:rPr lang="zh-CN" altLang="en-US"/>
                      <a:t>卫生健康</a:t>
                    </a:r>
                    <a:endParaRPr lang="zh-CN" altLang="en-US"/>
                  </a:p>
                  <a:p>
                    <a:pPr>
                      <a:defRPr lang="zh-CN" sz="900" b="0" i="0" u="none" strike="noStrike" kern="1200" baseline="0">
                        <a:solidFill>
                          <a:schemeClr val="tx1">
                            <a:lumMod val="65000"/>
                            <a:lumOff val="35000"/>
                          </a:schemeClr>
                        </a:solidFill>
                        <a:latin typeface="+mn-lt"/>
                        <a:ea typeface="+mn-ea"/>
                        <a:cs typeface="+mn-cs"/>
                      </a:defRPr>
                    </a:pPr>
                    <a:r>
                      <a:rPr lang="en-US" altLang="zh-CN"/>
                      <a:t>5.84%</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0.125"/>
                  <c:y val="-0.125"/>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r>
                      <a:rPr lang="zh-CN" altLang="en-US"/>
                      <a:t>资源勘探工业</a:t>
                    </a:r>
                    <a:endParaRPr lang="zh-CN" altLang="en-US"/>
                  </a:p>
                  <a:p>
                    <a:pPr>
                      <a:defRPr lang="zh-CN" sz="900" b="0" i="0" u="none" strike="noStrike" kern="1200" baseline="0">
                        <a:solidFill>
                          <a:schemeClr val="tx1">
                            <a:lumMod val="65000"/>
                            <a:lumOff val="35000"/>
                          </a:schemeClr>
                        </a:solidFill>
                        <a:latin typeface="+mn-lt"/>
                        <a:ea typeface="+mn-ea"/>
                        <a:cs typeface="+mn-cs"/>
                      </a:defRPr>
                    </a:pPr>
                    <a:r>
                      <a:rPr lang="zh-CN" altLang="en-US"/>
                      <a:t>信息</a:t>
                    </a:r>
                    <a:r>
                      <a:rPr lang="en-US" altLang="zh-CN"/>
                      <a:t>45.27%</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tx>
                <c:rich>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r>
                      <a:rPr lang="zh-CN" altLang="en-US"/>
                      <a:t>住房保障</a:t>
                    </a:r>
                    <a:endParaRPr lang="zh-CN" altLang="en-US"/>
                  </a:p>
                  <a:p>
                    <a:pPr>
                      <a:defRPr lang="zh-CN" sz="900" b="0" i="0" u="none" strike="noStrike" kern="1200" baseline="0">
                        <a:solidFill>
                          <a:schemeClr val="tx1">
                            <a:lumMod val="65000"/>
                            <a:lumOff val="35000"/>
                          </a:schemeClr>
                        </a:solidFill>
                        <a:latin typeface="+mn-lt"/>
                        <a:ea typeface="+mn-ea"/>
                        <a:cs typeface="+mn-cs"/>
                      </a:defRPr>
                    </a:pPr>
                    <a:r>
                      <a:rPr lang="en-US" altLang="zh-CN"/>
                      <a:t>16.76%</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'[2021年决算公开柱状饼状图.xlsx]2022年'!$C$111:$C$115</c:f>
              <c:strCache>
                <c:ptCount val="5"/>
                <c:pt idx="0">
                  <c:v>科学技术</c:v>
                </c:pt>
                <c:pt idx="1">
                  <c:v>社会保障和就业</c:v>
                </c:pt>
                <c:pt idx="2">
                  <c:v>卫生健康</c:v>
                </c:pt>
                <c:pt idx="3">
                  <c:v>资源勘探工业信息</c:v>
                </c:pt>
                <c:pt idx="4">
                  <c:v>住房保障</c:v>
                </c:pt>
              </c:strCache>
            </c:strRef>
          </c:cat>
          <c:val>
            <c:numRef>
              <c:f>'[2021年决算公开柱状饼状图.xlsx]2022年'!$D$111:$D$115</c:f>
              <c:numCache>
                <c:formatCode>0.00%</c:formatCode>
                <c:ptCount val="5"/>
                <c:pt idx="0">
                  <c:v>0.0079</c:v>
                </c:pt>
                <c:pt idx="1">
                  <c:v>0.3134</c:v>
                </c:pt>
                <c:pt idx="2">
                  <c:v>0.0584</c:v>
                </c:pt>
                <c:pt idx="3">
                  <c:v>0.4527</c:v>
                </c:pt>
                <c:pt idx="4">
                  <c:v>0.1676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0.75972</cdr:x>
      <cdr:y>0.1412</cdr:y>
    </cdr:from>
    <cdr:to>
      <cdr:x>0.94097</cdr:x>
      <cdr:y>0.23148</cdr:y>
    </cdr:to>
    <cdr:sp>
      <cdr:nvSpPr>
        <cdr:cNvPr id="2" name="矩形 1"/>
        <cdr:cNvSpPr/>
      </cdr:nvSpPr>
      <cdr:spPr xmlns:a="http://schemas.openxmlformats.org/drawingml/2006/main">
        <a:xfrm xmlns:a="http://schemas.openxmlformats.org/drawingml/2006/main">
          <a:off x="3473450" y="387350"/>
          <a:ext cx="828675" cy="247650"/>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lstStyle/>
        <a:p>
          <a:r>
            <a:rPr lang="zh-CN" altLang="en-US" sz="1000"/>
            <a:t>单位：万元</a:t>
          </a:r>
          <a:endParaRPr lang="zh-CN" altLang="en-US" sz="1000"/>
        </a:p>
      </cdr:txBody>
    </cdr:sp>
  </cdr:relSizeAnchor>
</c:userShapes>
</file>

<file path=word/drawings/drawing2.xml><?xml version="1.0" encoding="utf-8"?>
<c:userShapes xmlns:c="http://schemas.openxmlformats.org/drawingml/2006/chart">
  <cdr:relSizeAnchor xmlns:cdr="http://schemas.openxmlformats.org/drawingml/2006/chartDrawing">
    <cdr:from>
      <cdr:x>0.77569</cdr:x>
      <cdr:y>0.14468</cdr:y>
    </cdr:from>
    <cdr:to>
      <cdr:x>0.97986</cdr:x>
      <cdr:y>0.23495</cdr:y>
    </cdr:to>
    <cdr:sp>
      <cdr:nvSpPr>
        <cdr:cNvPr id="2" name="矩形 1"/>
        <cdr:cNvSpPr/>
      </cdr:nvSpPr>
      <cdr:spPr xmlns:a="http://schemas.openxmlformats.org/drawingml/2006/main">
        <a:xfrm xmlns:a="http://schemas.openxmlformats.org/drawingml/2006/main">
          <a:off x="3546475" y="396875"/>
          <a:ext cx="933450" cy="247650"/>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lstStyle/>
        <a:p>
          <a:r>
            <a:rPr lang="zh-CN" altLang="en-US" sz="1000"/>
            <a:t>单位：万元</a:t>
          </a:r>
          <a:endParaRPr lang="zh-CN" altLang="en-US" sz="1000"/>
        </a:p>
      </cdr:txBody>
    </cdr:sp>
  </cdr:relSizeAnchor>
</c:userShapes>
</file>

<file path=word/drawings/drawing3.xml><?xml version="1.0" encoding="utf-8"?>
<c:userShapes xmlns:c="http://schemas.openxmlformats.org/drawingml/2006/chart">
  <cdr:relSizeAnchor xmlns:cdr="http://schemas.openxmlformats.org/drawingml/2006/chartDrawing">
    <cdr:from>
      <cdr:x>0.76528</cdr:x>
      <cdr:y>0.10995</cdr:y>
    </cdr:from>
    <cdr:to>
      <cdr:x>0.96931</cdr:x>
      <cdr:y>0.21759</cdr:y>
    </cdr:to>
    <cdr:sp>
      <cdr:nvSpPr>
        <cdr:cNvPr id="2" name="矩形 1"/>
        <cdr:cNvSpPr/>
      </cdr:nvSpPr>
      <cdr:spPr xmlns:a="http://schemas.openxmlformats.org/drawingml/2006/main">
        <a:xfrm xmlns:a="http://schemas.openxmlformats.org/drawingml/2006/main">
          <a:off x="3498850" y="301625"/>
          <a:ext cx="932815" cy="295275"/>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lstStyle/>
        <a:p>
          <a:r>
            <a:rPr lang="zh-CN" altLang="en-US" sz="900"/>
            <a:t>单位：万元</a:t>
          </a:r>
          <a:endParaRPr lang="zh-CN" altLang="en-US" sz="9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74E87F-6C12-46A4-B51C-F6C251585266}">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17</Pages>
  <Words>4860</Words>
  <Characters>5451</Characters>
  <Lines>50</Lines>
  <Paragraphs>14</Paragraphs>
  <TotalTime>37</TotalTime>
  <ScaleCrop>false</ScaleCrop>
  <LinksUpToDate>false</LinksUpToDate>
  <CharactersWithSpaces>5713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宋</cp:lastModifiedBy>
  <cp:lastPrinted>2023-07-31T02:35:00Z</cp:lastPrinted>
  <dcterms:modified xsi:type="dcterms:W3CDTF">2023-09-05T09:12:43Z</dcterms:modified>
  <dc:title>四川省***</dc:title>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74470C3010B84147913424EC536BD1AB_12</vt:lpwstr>
  </property>
</Properties>
</file>