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98" w:rsidRDefault="00556098" w:rsidP="00556098">
      <w:pPr>
        <w:spacing w:line="600" w:lineRule="exact"/>
        <w:jc w:val="center"/>
        <w:outlineLvl w:val="0"/>
        <w:rPr>
          <w:rFonts w:ascii="方正小标宋简体" w:eastAsia="方正小标宋简体" w:hAnsi="宋体"/>
          <w:color w:val="000000"/>
          <w:sz w:val="72"/>
          <w:szCs w:val="72"/>
        </w:rPr>
      </w:pPr>
      <w:bookmarkStart w:id="0" w:name="_Toc15306267"/>
    </w:p>
    <w:p w:rsidR="00556098" w:rsidRDefault="00556098" w:rsidP="00556098">
      <w:pPr>
        <w:spacing w:line="600" w:lineRule="exact"/>
        <w:jc w:val="center"/>
        <w:outlineLvl w:val="0"/>
        <w:rPr>
          <w:rFonts w:ascii="方正小标宋简体" w:eastAsia="方正小标宋简体" w:hAnsi="宋体"/>
          <w:color w:val="000000"/>
          <w:sz w:val="72"/>
          <w:szCs w:val="72"/>
        </w:rPr>
      </w:pPr>
    </w:p>
    <w:p w:rsidR="00556098" w:rsidRDefault="00556098" w:rsidP="00556098">
      <w:pPr>
        <w:spacing w:line="600" w:lineRule="exact"/>
        <w:jc w:val="center"/>
        <w:outlineLvl w:val="0"/>
        <w:rPr>
          <w:rFonts w:ascii="方正小标宋简体" w:eastAsia="方正小标宋简体" w:hAnsi="宋体"/>
          <w:color w:val="000000"/>
          <w:sz w:val="72"/>
          <w:szCs w:val="72"/>
        </w:rPr>
      </w:pPr>
    </w:p>
    <w:p w:rsidR="00B5276C" w:rsidRDefault="00B5276C" w:rsidP="00B5276C">
      <w:pPr>
        <w:adjustRightInd w:val="0"/>
        <w:snapToGrid w:val="0"/>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96597"/>
      <w:bookmarkStart w:id="4" w:name="_Toc15396475"/>
      <w:bookmarkStart w:id="5" w:name="_Toc15377425"/>
      <w:bookmarkStart w:id="6" w:name="_Toc15377426"/>
      <w:bookmarkStart w:id="7" w:name="_Toc15396598"/>
      <w:bookmarkStart w:id="8" w:name="_Toc15396476"/>
      <w:bookmarkStart w:id="9" w:name="_Toc15377194"/>
      <w:bookmarkStart w:id="10" w:name="_Toc15378442"/>
      <w:r>
        <w:rPr>
          <w:rFonts w:ascii="方正小标宋简体" w:eastAsia="方正小标宋简体" w:hAnsi="方正小标宋简体" w:cs="方正小标宋简体" w:hint="eastAsia"/>
          <w:sz w:val="72"/>
          <w:szCs w:val="72"/>
        </w:rPr>
        <w:t>202</w:t>
      </w:r>
      <w:r w:rsidR="007142D3">
        <w:rPr>
          <w:rFonts w:ascii="方正小标宋简体" w:eastAsia="方正小标宋简体" w:hAnsi="方正小标宋简体" w:cs="方正小标宋简体" w:hint="eastAsia"/>
          <w:sz w:val="72"/>
          <w:szCs w:val="72"/>
        </w:rPr>
        <w:t>2</w:t>
      </w:r>
      <w:r>
        <w:rPr>
          <w:rFonts w:ascii="方正小标宋简体" w:eastAsia="方正小标宋简体" w:hAnsi="方正小标宋简体" w:cs="方正小标宋简体" w:hint="eastAsia"/>
          <w:sz w:val="72"/>
          <w:szCs w:val="72"/>
        </w:rPr>
        <w:t>年度</w:t>
      </w:r>
      <w:bookmarkEnd w:id="1"/>
      <w:bookmarkEnd w:id="2"/>
      <w:bookmarkEnd w:id="3"/>
      <w:bookmarkEnd w:id="4"/>
      <w:bookmarkEnd w:id="5"/>
    </w:p>
    <w:p w:rsidR="004F3C75" w:rsidRDefault="00556098" w:rsidP="00B5276C">
      <w:pPr>
        <w:adjustRightInd w:val="0"/>
        <w:snapToGrid w:val="0"/>
        <w:jc w:val="center"/>
        <w:outlineLvl w:val="0"/>
        <w:rPr>
          <w:rFonts w:ascii="方正小标宋简体" w:eastAsia="方正小标宋简体" w:hAnsi="宋体"/>
          <w:sz w:val="72"/>
          <w:szCs w:val="72"/>
        </w:rPr>
      </w:pPr>
      <w:r w:rsidRPr="00B5276C">
        <w:rPr>
          <w:rFonts w:ascii="方正小标宋简体" w:eastAsia="方正小标宋简体" w:hAnsi="方正小标宋简体" w:cs="方正小标宋简体" w:hint="eastAsia"/>
          <w:sz w:val="72"/>
          <w:szCs w:val="72"/>
        </w:rPr>
        <w:t>四川省</w:t>
      </w:r>
      <w:bookmarkStart w:id="11" w:name="_Toc15306268"/>
      <w:bookmarkEnd w:id="0"/>
      <w:r w:rsidRPr="00B5276C">
        <w:rPr>
          <w:rFonts w:ascii="方正小标宋简体" w:eastAsia="方正小标宋简体" w:hAnsi="方正小标宋简体" w:cs="方正小标宋简体" w:hint="eastAsia"/>
          <w:sz w:val="72"/>
          <w:szCs w:val="72"/>
        </w:rPr>
        <w:t>地质矿产勘查</w:t>
      </w:r>
      <w:r w:rsidR="004F3C75" w:rsidRPr="00B5276C">
        <w:rPr>
          <w:rFonts w:ascii="方正小标宋简体" w:eastAsia="方正小标宋简体" w:hAnsi="方正小标宋简体" w:cs="方正小标宋简体" w:hint="eastAsia"/>
          <w:sz w:val="72"/>
          <w:szCs w:val="72"/>
        </w:rPr>
        <w:t>开发</w:t>
      </w:r>
      <w:r w:rsidRPr="00B5276C">
        <w:rPr>
          <w:rFonts w:ascii="方正小标宋简体" w:eastAsia="方正小标宋简体" w:hAnsi="方正小标宋简体" w:cs="方正小标宋简体" w:hint="eastAsia"/>
          <w:sz w:val="72"/>
          <w:szCs w:val="72"/>
        </w:rPr>
        <w:t>局</w:t>
      </w:r>
      <w:r w:rsidR="001739A6">
        <w:rPr>
          <w:rFonts w:ascii="方正小标宋简体" w:eastAsia="方正小标宋简体" w:hAnsi="宋体" w:hint="eastAsia"/>
          <w:sz w:val="72"/>
          <w:szCs w:val="72"/>
        </w:rPr>
        <w:t>一〇九地质队</w:t>
      </w:r>
      <w:bookmarkEnd w:id="6"/>
      <w:bookmarkEnd w:id="7"/>
      <w:bookmarkEnd w:id="8"/>
      <w:bookmarkEnd w:id="9"/>
      <w:bookmarkEnd w:id="10"/>
      <w:bookmarkEnd w:id="11"/>
    </w:p>
    <w:p w:rsidR="00556098" w:rsidRPr="001739A6" w:rsidRDefault="000F312E" w:rsidP="001739A6">
      <w:pPr>
        <w:adjustRightInd w:val="0"/>
        <w:snapToGrid w:val="0"/>
        <w:jc w:val="center"/>
        <w:outlineLvl w:val="0"/>
        <w:rPr>
          <w:rFonts w:ascii="方正小标宋简体" w:eastAsia="方正小标宋简体" w:hAnsi="宋体"/>
          <w:sz w:val="72"/>
          <w:szCs w:val="72"/>
        </w:rPr>
      </w:pPr>
      <w:r>
        <w:rPr>
          <w:rFonts w:ascii="方正小标宋简体" w:eastAsia="方正小标宋简体" w:hAnsi="宋体" w:hint="eastAsia"/>
          <w:sz w:val="72"/>
          <w:szCs w:val="72"/>
        </w:rPr>
        <w:t>单位</w:t>
      </w:r>
      <w:r w:rsidR="001739A6">
        <w:rPr>
          <w:rFonts w:ascii="方正小标宋简体" w:eastAsia="方正小标宋简体" w:hAnsi="宋体" w:hint="eastAsia"/>
          <w:sz w:val="72"/>
          <w:szCs w:val="72"/>
        </w:rPr>
        <w:t>决算</w:t>
      </w:r>
    </w:p>
    <w:p w:rsidR="004F3C75" w:rsidRDefault="004F3C75" w:rsidP="001739A6">
      <w:pPr>
        <w:widowControl/>
        <w:spacing w:line="440" w:lineRule="exact"/>
        <w:jc w:val="center"/>
        <w:rPr>
          <w:rFonts w:ascii="方正小标宋简体" w:eastAsia="方正小标宋简体" w:hAnsi="宋体"/>
          <w:color w:val="000000"/>
          <w:sz w:val="36"/>
          <w:szCs w:val="36"/>
        </w:rPr>
        <w:sectPr w:rsidR="004F3C75" w:rsidSect="004F3C75">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851" w:footer="992" w:gutter="0"/>
          <w:pgNumType w:start="1"/>
          <w:cols w:space="425"/>
          <w:titlePg/>
          <w:docGrid w:type="linesAndChars" w:linePitch="312"/>
        </w:sectPr>
      </w:pPr>
    </w:p>
    <w:p w:rsidR="00EA332C" w:rsidRDefault="00EA332C" w:rsidP="001739A6">
      <w:pPr>
        <w:widowControl/>
        <w:spacing w:line="440" w:lineRule="exact"/>
        <w:jc w:val="center"/>
        <w:rPr>
          <w:rFonts w:ascii="方正小标宋简体" w:eastAsia="方正小标宋简体" w:hAnsi="宋体"/>
          <w:color w:val="000000"/>
          <w:sz w:val="36"/>
          <w:szCs w:val="36"/>
        </w:rPr>
      </w:pPr>
    </w:p>
    <w:p w:rsidR="00556098" w:rsidRDefault="004C4678" w:rsidP="004A02E1">
      <w:pPr>
        <w:widowControl/>
        <w:spacing w:line="440" w:lineRule="exact"/>
        <w:jc w:val="center"/>
        <w:rPr>
          <w:rFonts w:ascii="黑体" w:eastAsia="黑体" w:hAnsi="黑体"/>
          <w:sz w:val="48"/>
          <w:szCs w:val="48"/>
        </w:rPr>
      </w:pPr>
      <w:r>
        <w:rPr>
          <w:rFonts w:ascii="黑体" w:eastAsia="黑体" w:hAnsi="黑体" w:hint="eastAsia"/>
          <w:sz w:val="48"/>
          <w:szCs w:val="48"/>
        </w:rPr>
        <w:t>目录</w:t>
      </w:r>
    </w:p>
    <w:p w:rsidR="004C4678" w:rsidRDefault="004C4678" w:rsidP="004A02E1">
      <w:pPr>
        <w:widowControl/>
        <w:spacing w:line="440" w:lineRule="exact"/>
        <w:jc w:val="center"/>
        <w:rPr>
          <w:rFonts w:ascii="黑体" w:eastAsia="黑体" w:hAnsi="黑体" w:cstheme="minorBidi"/>
          <w:sz w:val="28"/>
          <w:szCs w:val="28"/>
        </w:rPr>
      </w:pPr>
    </w:p>
    <w:p w:rsidR="007142D3" w:rsidRDefault="007142D3" w:rsidP="004C4678">
      <w:pPr>
        <w:pStyle w:val="10"/>
        <w:spacing w:line="240" w:lineRule="auto"/>
      </w:pPr>
      <w:r>
        <w:rPr>
          <w:rFonts w:hint="eastAsia"/>
        </w:rPr>
        <w:t>公开时间：2023年9月6日</w:t>
      </w:r>
    </w:p>
    <w:p w:rsidR="00556098" w:rsidRDefault="00556098" w:rsidP="004A02E1">
      <w:pPr>
        <w:spacing w:line="440" w:lineRule="exact"/>
        <w:jc w:val="left"/>
      </w:pPr>
    </w:p>
    <w:p w:rsidR="004A02E1" w:rsidRDefault="004A02E1" w:rsidP="004A02E1">
      <w:pPr>
        <w:pStyle w:val="10"/>
        <w:adjustRightInd w:val="0"/>
        <w:snapToGrid w:val="0"/>
        <w:spacing w:before="0" w:line="440" w:lineRule="exact"/>
        <w:jc w:val="left"/>
        <w:rPr>
          <w:rFonts w:cstheme="minorBidi"/>
          <w:sz w:val="24"/>
          <w:szCs w:val="24"/>
        </w:rPr>
      </w:pPr>
      <w:r>
        <w:rPr>
          <w:rFonts w:hint="eastAsia"/>
          <w:sz w:val="24"/>
        </w:rPr>
        <w:t>第一部分单位概况</w:t>
      </w:r>
      <w:r w:rsidR="009D6F63" w:rsidRPr="009D6F63">
        <w:rPr>
          <w:rFonts w:ascii="Times New Roman" w:eastAsia="宋体" w:hAnsi="Times New Roman" w:hint="eastAsia"/>
          <w:sz w:val="24"/>
          <w:szCs w:val="24"/>
        </w:rPr>
        <w:t>...............................................</w:t>
      </w:r>
      <w:r w:rsidR="009D6F63">
        <w:rPr>
          <w:rFonts w:ascii="Times New Roman" w:eastAsia="宋体" w:hAnsi="Times New Roman" w:hint="eastAsia"/>
          <w:sz w:val="24"/>
          <w:szCs w:val="24"/>
        </w:rPr>
        <w:t>...............................................</w:t>
      </w:r>
      <w:r w:rsidR="009D6F63">
        <w:rPr>
          <w:rFonts w:hint="eastAsia"/>
          <w:sz w:val="24"/>
        </w:rPr>
        <w:t>3</w:t>
      </w:r>
    </w:p>
    <w:p w:rsidR="004A02E1" w:rsidRPr="00E4784C" w:rsidRDefault="004A02E1" w:rsidP="004A02E1">
      <w:pPr>
        <w:pStyle w:val="20"/>
        <w:adjustRightInd w:val="0"/>
        <w:snapToGrid w:val="0"/>
        <w:spacing w:line="440" w:lineRule="exact"/>
        <w:jc w:val="left"/>
        <w:rPr>
          <w:sz w:val="24"/>
        </w:rPr>
      </w:pPr>
      <w:r w:rsidRPr="00E4784C">
        <w:rPr>
          <w:rFonts w:hint="eastAsia"/>
          <w:sz w:val="24"/>
        </w:rPr>
        <w:t>一、</w:t>
      </w:r>
      <w:r w:rsidR="004C4678">
        <w:rPr>
          <w:rFonts w:hint="eastAsia"/>
          <w:sz w:val="24"/>
        </w:rPr>
        <w:t>主要职责</w:t>
      </w:r>
      <w:r w:rsidR="00D70D73">
        <w:rPr>
          <w:rFonts w:hint="eastAsia"/>
          <w:sz w:val="24"/>
        </w:rPr>
        <w:t>...............................................................................................</w:t>
      </w:r>
      <w:r w:rsidR="001F33BC" w:rsidRPr="00E4784C">
        <w:rPr>
          <w:rFonts w:hint="eastAsia"/>
          <w:sz w:val="24"/>
        </w:rPr>
        <w:t>3</w:t>
      </w:r>
    </w:p>
    <w:p w:rsidR="001567A7" w:rsidRPr="001567A7" w:rsidRDefault="001567A7" w:rsidP="001567A7">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sidR="005F0F63">
        <w:rPr>
          <w:rFonts w:asciiTheme="minorEastAsia" w:eastAsiaTheme="minorEastAsia" w:hAnsiTheme="minorEastAsia" w:cstheme="minorEastAsia" w:hint="eastAsia"/>
          <w:sz w:val="24"/>
        </w:rPr>
        <w:t>二</w:t>
      </w:r>
      <w:r w:rsidR="009B5DF8">
        <w:rPr>
          <w:rFonts w:asciiTheme="minorEastAsia" w:eastAsiaTheme="minorEastAsia" w:hAnsiTheme="minorEastAsia" w:cstheme="minorEastAsia" w:hint="eastAsia"/>
          <w:sz w:val="24"/>
        </w:rPr>
        <w:t>、</w:t>
      </w:r>
      <w:r w:rsidR="004C4678">
        <w:rPr>
          <w:rFonts w:hint="eastAsia"/>
          <w:sz w:val="24"/>
        </w:rPr>
        <w:t>机构设置</w:t>
      </w:r>
      <w:r w:rsidR="00D70D73">
        <w:rPr>
          <w:rFonts w:hint="eastAsia"/>
          <w:sz w:val="24"/>
        </w:rPr>
        <w:t>..............................................................................................</w:t>
      </w:r>
      <w:r w:rsidR="002A20AF">
        <w:rPr>
          <w:rFonts w:hint="eastAsia"/>
          <w:sz w:val="24"/>
        </w:rPr>
        <w:t>3</w:t>
      </w:r>
    </w:p>
    <w:p w:rsidR="004A02E1" w:rsidRDefault="004A02E1" w:rsidP="004A02E1">
      <w:pPr>
        <w:pStyle w:val="10"/>
        <w:adjustRightInd w:val="0"/>
        <w:snapToGrid w:val="0"/>
        <w:spacing w:before="0" w:line="440" w:lineRule="exact"/>
        <w:jc w:val="left"/>
        <w:rPr>
          <w:sz w:val="24"/>
          <w:szCs w:val="24"/>
        </w:rPr>
      </w:pPr>
      <w:r>
        <w:rPr>
          <w:rFonts w:hint="eastAsia"/>
          <w:sz w:val="24"/>
        </w:rPr>
        <w:t>第二部分 202</w:t>
      </w:r>
      <w:r w:rsidR="004B5B90">
        <w:rPr>
          <w:rFonts w:hint="eastAsia"/>
          <w:sz w:val="24"/>
        </w:rPr>
        <w:t>2</w:t>
      </w:r>
      <w:r>
        <w:rPr>
          <w:rFonts w:hint="eastAsia"/>
          <w:sz w:val="24"/>
        </w:rPr>
        <w:t>年度</w:t>
      </w:r>
      <w:r w:rsidR="000F312E">
        <w:rPr>
          <w:rFonts w:hint="eastAsia"/>
          <w:sz w:val="24"/>
        </w:rPr>
        <w:t>单位</w:t>
      </w:r>
      <w:r>
        <w:rPr>
          <w:rFonts w:hint="eastAsia"/>
          <w:sz w:val="24"/>
        </w:rPr>
        <w:t>决算情况说明</w:t>
      </w:r>
      <w:r w:rsidR="00D70D73" w:rsidRPr="009D6F63">
        <w:rPr>
          <w:rFonts w:ascii="Times New Roman" w:eastAsia="宋体" w:hAnsi="Times New Roman" w:hint="eastAsia"/>
          <w:sz w:val="24"/>
          <w:szCs w:val="24"/>
        </w:rPr>
        <w:t>............................</w:t>
      </w:r>
      <w:r w:rsidR="009D6F63">
        <w:rPr>
          <w:rFonts w:ascii="Times New Roman" w:eastAsia="宋体" w:hAnsi="Times New Roman" w:hint="eastAsia"/>
          <w:sz w:val="24"/>
          <w:szCs w:val="24"/>
        </w:rPr>
        <w:t>.............................</w:t>
      </w:r>
      <w:r w:rsidR="00D70D73" w:rsidRPr="009D6F63">
        <w:rPr>
          <w:rFonts w:ascii="Times New Roman" w:eastAsia="宋体" w:hAnsi="Times New Roman" w:hint="eastAsia"/>
          <w:sz w:val="24"/>
          <w:szCs w:val="24"/>
        </w:rPr>
        <w:t>.</w:t>
      </w:r>
      <w:r w:rsidR="002A20AF">
        <w:rPr>
          <w:rFonts w:hint="eastAsia"/>
          <w:sz w:val="24"/>
        </w:rPr>
        <w:t>4</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D70D73">
        <w:rPr>
          <w:rFonts w:hint="eastAsia"/>
          <w:sz w:val="24"/>
        </w:rPr>
        <w:t>..............................................................</w:t>
      </w:r>
      <w:r w:rsidR="002B76F6">
        <w:rPr>
          <w:rFonts w:hint="eastAsia"/>
          <w:sz w:val="24"/>
        </w:rPr>
        <w:t>4</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D70D73">
        <w:rPr>
          <w:rFonts w:hint="eastAsia"/>
          <w:sz w:val="24"/>
        </w:rPr>
        <w:t>..............................................................................</w:t>
      </w:r>
      <w:r w:rsidR="002B76F6">
        <w:rPr>
          <w:rFonts w:hint="eastAsia"/>
          <w:sz w:val="24"/>
        </w:rPr>
        <w:t>4</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BC2225">
        <w:rPr>
          <w:rFonts w:hint="eastAsia"/>
          <w:sz w:val="24"/>
        </w:rPr>
        <w:t>..............................................................................</w:t>
      </w:r>
      <w:r w:rsidR="002B76F6">
        <w:rPr>
          <w:rFonts w:hint="eastAsia"/>
          <w:sz w:val="24"/>
        </w:rPr>
        <w:t>5</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BC2225">
        <w:rPr>
          <w:rFonts w:hint="eastAsia"/>
          <w:sz w:val="24"/>
        </w:rPr>
        <w:t>..............................................</w:t>
      </w:r>
      <w:r w:rsidR="002472EF">
        <w:rPr>
          <w:rFonts w:hint="eastAsia"/>
          <w:sz w:val="24"/>
        </w:rPr>
        <w:t>5</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BC2225">
        <w:rPr>
          <w:rFonts w:hint="eastAsia"/>
          <w:sz w:val="24"/>
        </w:rPr>
        <w:t>......................................</w:t>
      </w:r>
      <w:r w:rsidR="002B76F6">
        <w:rPr>
          <w:rFonts w:hint="eastAsia"/>
          <w:sz w:val="24"/>
        </w:rPr>
        <w:t>6</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BC2225">
        <w:rPr>
          <w:rFonts w:hint="eastAsia"/>
          <w:sz w:val="24"/>
        </w:rPr>
        <w:t>..............................</w:t>
      </w:r>
      <w:r w:rsidR="002B76F6">
        <w:rPr>
          <w:rFonts w:hint="eastAsia"/>
          <w:sz w:val="24"/>
        </w:rPr>
        <w:t>9</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七、</w:t>
      </w:r>
      <w:r w:rsidR="004B5B90">
        <w:rPr>
          <w:rFonts w:hint="eastAsia"/>
          <w:sz w:val="24"/>
        </w:rPr>
        <w:t>财政拨款“三公”经费支出决算情况说明</w:t>
      </w:r>
      <w:r w:rsidR="00BC2225">
        <w:rPr>
          <w:rFonts w:hint="eastAsia"/>
          <w:sz w:val="24"/>
        </w:rPr>
        <w:t>......................................</w:t>
      </w:r>
      <w:r w:rsidR="002B76F6">
        <w:rPr>
          <w:rFonts w:hint="eastAsia"/>
          <w:sz w:val="24"/>
        </w:rPr>
        <w:t>9</w:t>
      </w:r>
    </w:p>
    <w:p w:rsidR="004A02E1" w:rsidRDefault="004A02E1" w:rsidP="004A02E1">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BC2225">
        <w:rPr>
          <w:rFonts w:hint="eastAsia"/>
          <w:sz w:val="24"/>
        </w:rPr>
        <w:t>..................................................</w:t>
      </w:r>
      <w:r w:rsidR="002B76F6">
        <w:rPr>
          <w:rFonts w:hint="eastAsia"/>
          <w:sz w:val="24"/>
        </w:rPr>
        <w:t>9</w:t>
      </w:r>
    </w:p>
    <w:p w:rsidR="004A02E1" w:rsidRDefault="004A02E1" w:rsidP="004A02E1">
      <w:pPr>
        <w:pStyle w:val="20"/>
        <w:adjustRightInd w:val="0"/>
        <w:snapToGrid w:val="0"/>
        <w:spacing w:line="440" w:lineRule="exact"/>
        <w:jc w:val="left"/>
        <w:rPr>
          <w:sz w:val="24"/>
        </w:rPr>
      </w:pPr>
      <w:r>
        <w:rPr>
          <w:rFonts w:hint="eastAsia"/>
          <w:sz w:val="24"/>
        </w:rPr>
        <w:t>九、国有资本经营预算支出决算情况说明</w:t>
      </w:r>
      <w:r w:rsidR="00BC2225">
        <w:rPr>
          <w:rFonts w:hint="eastAsia"/>
          <w:sz w:val="24"/>
        </w:rPr>
        <w:t>..............................................</w:t>
      </w:r>
      <w:r w:rsidR="002B76F6">
        <w:rPr>
          <w:rFonts w:hint="eastAsia"/>
          <w:sz w:val="24"/>
        </w:rPr>
        <w:t>9</w:t>
      </w:r>
    </w:p>
    <w:p w:rsidR="004A02E1" w:rsidRDefault="004A02E1" w:rsidP="004A02E1">
      <w:pPr>
        <w:pStyle w:val="20"/>
        <w:adjustRightInd w:val="0"/>
        <w:snapToGrid w:val="0"/>
        <w:spacing w:line="440" w:lineRule="exact"/>
        <w:jc w:val="left"/>
        <w:rPr>
          <w:sz w:val="24"/>
        </w:rPr>
      </w:pPr>
      <w:r>
        <w:rPr>
          <w:rFonts w:hint="eastAsia"/>
          <w:sz w:val="24"/>
        </w:rPr>
        <w:t>十、其他重要事项的情况说明</w:t>
      </w:r>
      <w:r w:rsidR="00BC2225">
        <w:rPr>
          <w:rFonts w:hint="eastAsia"/>
          <w:sz w:val="24"/>
        </w:rPr>
        <w:t>..................................................................</w:t>
      </w:r>
      <w:r w:rsidR="002B76F6">
        <w:rPr>
          <w:rFonts w:hint="eastAsia"/>
          <w:sz w:val="24"/>
        </w:rPr>
        <w:t>9</w:t>
      </w:r>
    </w:p>
    <w:p w:rsidR="004A02E1" w:rsidRDefault="004A02E1" w:rsidP="004A02E1">
      <w:pPr>
        <w:pStyle w:val="10"/>
        <w:adjustRightInd w:val="0"/>
        <w:snapToGrid w:val="0"/>
        <w:spacing w:before="0" w:line="440" w:lineRule="exact"/>
        <w:jc w:val="left"/>
        <w:rPr>
          <w:rFonts w:ascii="Times New Roman" w:eastAsia="宋体" w:hAnsi="Times New Roman"/>
          <w:sz w:val="24"/>
          <w:szCs w:val="24"/>
        </w:rPr>
      </w:pPr>
      <w:r>
        <w:rPr>
          <w:rFonts w:hint="eastAsia"/>
          <w:sz w:val="24"/>
        </w:rPr>
        <w:t>第三部分名词解释</w:t>
      </w:r>
      <w:r w:rsidR="00BC2225" w:rsidRPr="009D6F63">
        <w:rPr>
          <w:rFonts w:ascii="Times New Roman" w:eastAsia="宋体" w:hAnsi="Times New Roman" w:hint="eastAsia"/>
          <w:sz w:val="24"/>
          <w:szCs w:val="24"/>
        </w:rPr>
        <w:t>........................................</w:t>
      </w:r>
      <w:r w:rsidR="009D6F63">
        <w:rPr>
          <w:rFonts w:ascii="Times New Roman" w:eastAsia="宋体" w:hAnsi="Times New Roman" w:hint="eastAsia"/>
          <w:sz w:val="24"/>
          <w:szCs w:val="24"/>
        </w:rPr>
        <w:t>..............................................</w:t>
      </w:r>
      <w:r w:rsidR="00BC2225" w:rsidRPr="009D6F63">
        <w:rPr>
          <w:rFonts w:ascii="Times New Roman" w:eastAsia="宋体" w:hAnsi="Times New Roman" w:hint="eastAsia"/>
          <w:sz w:val="24"/>
          <w:szCs w:val="24"/>
        </w:rPr>
        <w:t>......</w:t>
      </w:r>
      <w:r w:rsidR="002B76F6">
        <w:rPr>
          <w:rFonts w:ascii="Times New Roman" w:eastAsia="宋体" w:hAnsi="Times New Roman" w:hint="eastAsia"/>
          <w:sz w:val="24"/>
          <w:szCs w:val="24"/>
        </w:rPr>
        <w:t>11</w:t>
      </w:r>
    </w:p>
    <w:p w:rsidR="004A02E1" w:rsidRPr="00845521" w:rsidRDefault="004A02E1" w:rsidP="004A02E1">
      <w:pPr>
        <w:pStyle w:val="10"/>
        <w:adjustRightInd w:val="0"/>
        <w:snapToGrid w:val="0"/>
        <w:spacing w:before="0" w:line="440" w:lineRule="exact"/>
        <w:jc w:val="left"/>
        <w:rPr>
          <w:rFonts w:ascii="Times New Roman" w:eastAsia="宋体" w:hAnsi="Times New Roman"/>
          <w:sz w:val="24"/>
          <w:szCs w:val="24"/>
        </w:rPr>
      </w:pPr>
      <w:r>
        <w:rPr>
          <w:rFonts w:hint="eastAsia"/>
          <w:sz w:val="24"/>
        </w:rPr>
        <w:t>第</w:t>
      </w:r>
      <w:r w:rsidR="00867023">
        <w:rPr>
          <w:rFonts w:hint="eastAsia"/>
          <w:sz w:val="24"/>
        </w:rPr>
        <w:t>四</w:t>
      </w:r>
      <w:r>
        <w:rPr>
          <w:rFonts w:hint="eastAsia"/>
          <w:sz w:val="24"/>
        </w:rPr>
        <w:t>部分附表</w:t>
      </w:r>
      <w:r w:rsidR="00BC2225" w:rsidRPr="009D6F63">
        <w:rPr>
          <w:rFonts w:ascii="Times New Roman" w:eastAsia="宋体" w:hAnsi="Times New Roman" w:hint="eastAsia"/>
          <w:sz w:val="24"/>
          <w:szCs w:val="24"/>
        </w:rPr>
        <w:t>.................................</w:t>
      </w:r>
      <w:r w:rsidR="009D6F63">
        <w:rPr>
          <w:rFonts w:ascii="Times New Roman" w:eastAsia="宋体" w:hAnsi="Times New Roman" w:hint="eastAsia"/>
          <w:sz w:val="24"/>
          <w:szCs w:val="24"/>
        </w:rPr>
        <w:t>..................................................</w:t>
      </w:r>
      <w:r w:rsidR="00BC2225" w:rsidRPr="009D6F63">
        <w:rPr>
          <w:rFonts w:ascii="Times New Roman" w:eastAsia="宋体" w:hAnsi="Times New Roman" w:hint="eastAsia"/>
          <w:sz w:val="24"/>
          <w:szCs w:val="24"/>
        </w:rPr>
        <w:t>.................</w:t>
      </w:r>
      <w:r w:rsidR="00867023">
        <w:rPr>
          <w:rFonts w:ascii="Times New Roman" w:eastAsia="宋体" w:hAnsi="Times New Roman" w:hint="eastAsia"/>
          <w:sz w:val="24"/>
          <w:szCs w:val="24"/>
        </w:rPr>
        <w:t>14</w:t>
      </w:r>
    </w:p>
    <w:p w:rsidR="004A02E1" w:rsidRDefault="004A02E1" w:rsidP="004A02E1">
      <w:pPr>
        <w:pStyle w:val="20"/>
        <w:adjustRightInd w:val="0"/>
        <w:snapToGrid w:val="0"/>
        <w:spacing w:line="440" w:lineRule="exact"/>
        <w:jc w:val="left"/>
        <w:rPr>
          <w:sz w:val="24"/>
        </w:rPr>
      </w:pPr>
      <w:r>
        <w:rPr>
          <w:rFonts w:hint="eastAsia"/>
          <w:sz w:val="24"/>
        </w:rPr>
        <w:t>一、收入支出决算总表</w:t>
      </w:r>
    </w:p>
    <w:p w:rsidR="004A02E1" w:rsidRDefault="004A02E1" w:rsidP="004A02E1">
      <w:pPr>
        <w:pStyle w:val="20"/>
        <w:adjustRightInd w:val="0"/>
        <w:snapToGrid w:val="0"/>
        <w:spacing w:line="440" w:lineRule="exact"/>
        <w:jc w:val="left"/>
        <w:rPr>
          <w:sz w:val="24"/>
        </w:rPr>
      </w:pPr>
      <w:r>
        <w:rPr>
          <w:rFonts w:hint="eastAsia"/>
          <w:sz w:val="24"/>
        </w:rPr>
        <w:t>二、收入决算表</w:t>
      </w:r>
    </w:p>
    <w:p w:rsidR="004A02E1" w:rsidRDefault="004A02E1" w:rsidP="004A02E1">
      <w:pPr>
        <w:pStyle w:val="20"/>
        <w:adjustRightInd w:val="0"/>
        <w:snapToGrid w:val="0"/>
        <w:spacing w:line="440" w:lineRule="exact"/>
        <w:jc w:val="left"/>
        <w:rPr>
          <w:sz w:val="24"/>
        </w:rPr>
      </w:pPr>
      <w:r>
        <w:rPr>
          <w:rFonts w:hint="eastAsia"/>
          <w:sz w:val="24"/>
        </w:rPr>
        <w:t>三、支出决算表</w:t>
      </w:r>
    </w:p>
    <w:p w:rsidR="004A02E1" w:rsidRDefault="004A02E1" w:rsidP="004A02E1">
      <w:pPr>
        <w:pStyle w:val="20"/>
        <w:adjustRightInd w:val="0"/>
        <w:snapToGrid w:val="0"/>
        <w:spacing w:line="440" w:lineRule="exact"/>
        <w:jc w:val="left"/>
        <w:rPr>
          <w:sz w:val="24"/>
        </w:rPr>
      </w:pPr>
      <w:r>
        <w:rPr>
          <w:rFonts w:hint="eastAsia"/>
          <w:sz w:val="24"/>
        </w:rPr>
        <w:t>四、财政拨款收入支出决算总表</w:t>
      </w:r>
    </w:p>
    <w:p w:rsidR="004A02E1" w:rsidRDefault="004A02E1" w:rsidP="004A02E1">
      <w:pPr>
        <w:pStyle w:val="20"/>
        <w:adjustRightInd w:val="0"/>
        <w:snapToGrid w:val="0"/>
        <w:spacing w:line="440" w:lineRule="exact"/>
        <w:jc w:val="left"/>
        <w:rPr>
          <w:sz w:val="24"/>
        </w:rPr>
      </w:pPr>
      <w:r>
        <w:rPr>
          <w:rFonts w:hint="eastAsia"/>
          <w:sz w:val="24"/>
        </w:rPr>
        <w:t>五、财政拨款支出决算明细表</w:t>
      </w:r>
    </w:p>
    <w:p w:rsidR="004A02E1" w:rsidRDefault="004A02E1" w:rsidP="004A02E1">
      <w:pPr>
        <w:pStyle w:val="20"/>
        <w:adjustRightInd w:val="0"/>
        <w:snapToGrid w:val="0"/>
        <w:spacing w:line="440" w:lineRule="exact"/>
        <w:jc w:val="left"/>
        <w:rPr>
          <w:sz w:val="24"/>
        </w:rPr>
      </w:pPr>
      <w:r>
        <w:rPr>
          <w:rFonts w:hint="eastAsia"/>
          <w:sz w:val="24"/>
        </w:rPr>
        <w:t>六、一般公共预算财政拨款支出决算表</w:t>
      </w:r>
    </w:p>
    <w:p w:rsidR="004A02E1" w:rsidRDefault="004A02E1" w:rsidP="004A02E1">
      <w:pPr>
        <w:pStyle w:val="20"/>
        <w:adjustRightInd w:val="0"/>
        <w:snapToGrid w:val="0"/>
        <w:spacing w:line="440" w:lineRule="exact"/>
        <w:jc w:val="left"/>
        <w:rPr>
          <w:sz w:val="24"/>
        </w:rPr>
      </w:pPr>
      <w:r>
        <w:rPr>
          <w:rFonts w:hint="eastAsia"/>
          <w:sz w:val="24"/>
        </w:rPr>
        <w:t>七、一般公共预算财政拨款支出决算明细表</w:t>
      </w:r>
    </w:p>
    <w:p w:rsidR="004A02E1" w:rsidRDefault="004A02E1" w:rsidP="004A02E1">
      <w:pPr>
        <w:pStyle w:val="20"/>
        <w:adjustRightInd w:val="0"/>
        <w:snapToGrid w:val="0"/>
        <w:spacing w:line="440" w:lineRule="exact"/>
        <w:jc w:val="left"/>
        <w:rPr>
          <w:sz w:val="24"/>
        </w:rPr>
      </w:pPr>
      <w:r>
        <w:rPr>
          <w:rFonts w:hint="eastAsia"/>
          <w:sz w:val="24"/>
        </w:rPr>
        <w:t>八、一般公共预算财政拨款基本支出决算</w:t>
      </w:r>
      <w:r w:rsidR="002B76F6">
        <w:rPr>
          <w:rFonts w:hint="eastAsia"/>
          <w:sz w:val="24"/>
        </w:rPr>
        <w:t>明细</w:t>
      </w:r>
      <w:r>
        <w:rPr>
          <w:rFonts w:hint="eastAsia"/>
          <w:sz w:val="24"/>
        </w:rPr>
        <w:t>表</w:t>
      </w:r>
    </w:p>
    <w:p w:rsidR="004A02E1" w:rsidRDefault="004A02E1" w:rsidP="004A02E1">
      <w:pPr>
        <w:pStyle w:val="20"/>
        <w:adjustRightInd w:val="0"/>
        <w:snapToGrid w:val="0"/>
        <w:spacing w:line="440" w:lineRule="exact"/>
        <w:jc w:val="left"/>
        <w:rPr>
          <w:sz w:val="24"/>
        </w:rPr>
      </w:pPr>
      <w:r>
        <w:rPr>
          <w:rFonts w:hint="eastAsia"/>
          <w:sz w:val="24"/>
        </w:rPr>
        <w:t>九、一般公共预算财政拨款项目支出决算表</w:t>
      </w:r>
    </w:p>
    <w:p w:rsidR="004A02E1" w:rsidRDefault="004B5B90" w:rsidP="004A02E1">
      <w:pPr>
        <w:pStyle w:val="20"/>
        <w:adjustRightInd w:val="0"/>
        <w:snapToGrid w:val="0"/>
        <w:spacing w:line="440" w:lineRule="exact"/>
        <w:jc w:val="left"/>
        <w:rPr>
          <w:sz w:val="24"/>
        </w:rPr>
      </w:pPr>
      <w:r>
        <w:rPr>
          <w:rFonts w:hint="eastAsia"/>
          <w:sz w:val="24"/>
        </w:rPr>
        <w:t>十</w:t>
      </w:r>
      <w:r w:rsidR="004A02E1">
        <w:rPr>
          <w:rFonts w:hint="eastAsia"/>
          <w:sz w:val="24"/>
        </w:rPr>
        <w:t>、政府性基金预算财政拨款收入支出决算表</w:t>
      </w:r>
    </w:p>
    <w:p w:rsidR="004A02E1" w:rsidRDefault="004B5B90" w:rsidP="004A02E1">
      <w:pPr>
        <w:pStyle w:val="20"/>
        <w:adjustRightInd w:val="0"/>
        <w:snapToGrid w:val="0"/>
        <w:spacing w:line="440" w:lineRule="exact"/>
        <w:jc w:val="left"/>
        <w:rPr>
          <w:sz w:val="24"/>
        </w:rPr>
      </w:pPr>
      <w:r>
        <w:rPr>
          <w:rFonts w:hint="eastAsia"/>
          <w:sz w:val="24"/>
        </w:rPr>
        <w:lastRenderedPageBreak/>
        <w:t>十一</w:t>
      </w:r>
      <w:r w:rsidR="004A02E1">
        <w:rPr>
          <w:rFonts w:hint="eastAsia"/>
          <w:sz w:val="24"/>
        </w:rPr>
        <w:t>、国有资本经营预算财政拨款收入支出决算表</w:t>
      </w:r>
    </w:p>
    <w:p w:rsidR="004A02E1" w:rsidRDefault="004A02E1" w:rsidP="004A02E1">
      <w:pPr>
        <w:pStyle w:val="20"/>
        <w:adjustRightInd w:val="0"/>
        <w:snapToGrid w:val="0"/>
        <w:spacing w:line="440" w:lineRule="exact"/>
        <w:jc w:val="left"/>
        <w:rPr>
          <w:sz w:val="24"/>
        </w:rPr>
      </w:pPr>
      <w:r>
        <w:rPr>
          <w:rFonts w:hint="eastAsia"/>
          <w:sz w:val="24"/>
        </w:rPr>
        <w:t>十</w:t>
      </w:r>
      <w:r w:rsidR="004B5B90">
        <w:rPr>
          <w:rFonts w:hint="eastAsia"/>
          <w:sz w:val="24"/>
        </w:rPr>
        <w:t>二</w:t>
      </w:r>
      <w:r>
        <w:rPr>
          <w:rFonts w:hint="eastAsia"/>
          <w:sz w:val="24"/>
        </w:rPr>
        <w:t>、国有资本经营预算财政拨款支出决算表</w:t>
      </w:r>
    </w:p>
    <w:p w:rsidR="002F08C8" w:rsidRDefault="002F08C8" w:rsidP="002F08C8">
      <w:pPr>
        <w:pStyle w:val="20"/>
        <w:adjustRightInd w:val="0"/>
        <w:snapToGrid w:val="0"/>
        <w:spacing w:line="440" w:lineRule="exact"/>
        <w:jc w:val="left"/>
        <w:rPr>
          <w:sz w:val="24"/>
        </w:rPr>
      </w:pPr>
      <w:r>
        <w:rPr>
          <w:rFonts w:hint="eastAsia"/>
          <w:sz w:val="24"/>
        </w:rPr>
        <w:t>十三、财政拨款“三公”经费支出决算表</w:t>
      </w:r>
    </w:p>
    <w:p w:rsidR="002F08C8" w:rsidRPr="002F08C8" w:rsidRDefault="002F08C8" w:rsidP="002F08C8"/>
    <w:p w:rsidR="004A02E1" w:rsidRDefault="004A02E1" w:rsidP="004A02E1">
      <w:pPr>
        <w:widowControl/>
        <w:spacing w:line="440" w:lineRule="exact"/>
        <w:jc w:val="left"/>
        <w:rPr>
          <w:rFonts w:ascii="仿宋" w:eastAsia="仿宋" w:hAnsi="仿宋"/>
          <w:bCs/>
          <w:kern w:val="44"/>
          <w:sz w:val="24"/>
        </w:rPr>
      </w:pPr>
      <w:r>
        <w:rPr>
          <w:rFonts w:ascii="仿宋" w:eastAsia="仿宋" w:hAnsi="仿宋"/>
          <w:b/>
          <w:sz w:val="24"/>
        </w:rPr>
        <w:br w:type="page"/>
      </w:r>
    </w:p>
    <w:p w:rsidR="00556098" w:rsidRPr="00CC45B8" w:rsidRDefault="00447BF8" w:rsidP="00CC45B8">
      <w:pPr>
        <w:pStyle w:val="1"/>
        <w:jc w:val="center"/>
        <w:rPr>
          <w:rFonts w:ascii="黑体" w:eastAsia="黑体" w:hAnsi="黑体"/>
          <w:bCs w:val="0"/>
        </w:rPr>
      </w:pPr>
      <w:r w:rsidRPr="00447BF8">
        <w:rPr>
          <w:rFonts w:ascii="黑体" w:eastAsia="黑体" w:hAnsi="黑体" w:hint="eastAsia"/>
          <w:b w:val="0"/>
        </w:rPr>
        <w:lastRenderedPageBreak/>
        <w:t>第一部分 单位</w:t>
      </w:r>
      <w:r w:rsidRPr="00447BF8">
        <w:rPr>
          <w:rStyle w:val="1Char"/>
          <w:rFonts w:ascii="黑体" w:eastAsia="黑体" w:hAnsi="黑体" w:hint="eastAsia"/>
          <w:bCs/>
        </w:rPr>
        <w:t>概况</w:t>
      </w:r>
    </w:p>
    <w:p w:rsidR="00556098" w:rsidRPr="00D9771F" w:rsidRDefault="005E64B3" w:rsidP="00D9771F">
      <w:pPr>
        <w:pStyle w:val="2"/>
        <w:numPr>
          <w:ilvl w:val="0"/>
          <w:numId w:val="7"/>
        </w:numPr>
        <w:rPr>
          <w:rStyle w:val="2Char"/>
          <w:rFonts w:ascii="黑体" w:eastAsia="黑体" w:hAnsi="黑体"/>
        </w:rPr>
      </w:pPr>
      <w:r>
        <w:rPr>
          <w:rStyle w:val="2Char"/>
          <w:rFonts w:ascii="黑体" w:eastAsia="黑体" w:hAnsi="黑体" w:hint="eastAsia"/>
        </w:rPr>
        <w:t>主要职责</w:t>
      </w:r>
    </w:p>
    <w:p w:rsidR="0036486D" w:rsidRPr="00CC45B8" w:rsidRDefault="00556098" w:rsidP="00CC45B8">
      <w:pPr>
        <w:pStyle w:val="aa"/>
        <w:spacing w:before="0" w:beforeAutospacing="0" w:after="0" w:afterAutospacing="0" w:line="600" w:lineRule="exact"/>
        <w:ind w:firstLineChars="200" w:firstLine="640"/>
        <w:jc w:val="both"/>
        <w:rPr>
          <w:rFonts w:ascii="仿宋" w:eastAsia="仿宋" w:hAnsi="仿宋"/>
          <w:bCs/>
          <w:color w:val="000000"/>
          <w:sz w:val="32"/>
          <w:szCs w:val="32"/>
        </w:rPr>
      </w:pPr>
      <w:r w:rsidRPr="00092F21">
        <w:rPr>
          <w:rFonts w:ascii="仿宋" w:eastAsia="仿宋" w:hAnsi="仿宋" w:hint="eastAsia"/>
          <w:bCs/>
          <w:color w:val="000000"/>
          <w:sz w:val="32"/>
          <w:szCs w:val="32"/>
        </w:rPr>
        <w:t>四川省地质矿产勘查开发局一○九地质队是一支以地质找矿为主，集矿业开发、工程施工、水工环调查、工程勘察、地灾评估勘查治理、钻（坑）探、测绘测量、环境地质、旅游地质、地热开发为一体的综合性地勘单位。近年来，四川省地矿局一○九地质队秉承“探矿，为国家提供资源保障；防灾，为人民创造安全环境”的使命，逐步形成了“以地质找矿为龙头，以矿业开发和工勘市场为两翼，水工环调查、钻（坑）探、测绘测量共同发展”的勘查开发新格局。坚持科学发展，立足四川，辐射重庆、云南、贵州、新疆、青海、西藏，走出国门，构建地勘经济发展新格局。</w:t>
      </w:r>
    </w:p>
    <w:p w:rsidR="001567A7" w:rsidRDefault="00CD7F03" w:rsidP="001567A7">
      <w:pPr>
        <w:pStyle w:val="2"/>
        <w:numPr>
          <w:ilvl w:val="0"/>
          <w:numId w:val="7"/>
        </w:numPr>
        <w:spacing w:line="360" w:lineRule="auto"/>
        <w:rPr>
          <w:rFonts w:ascii="黑体" w:eastAsia="黑体" w:hAnsi="黑体"/>
          <w:b w:val="0"/>
        </w:rPr>
      </w:pPr>
      <w:r>
        <w:rPr>
          <w:rFonts w:ascii="黑体" w:eastAsia="黑体" w:hAnsi="黑体" w:hint="eastAsia"/>
          <w:b w:val="0"/>
        </w:rPr>
        <w:t>机构设置</w:t>
      </w:r>
    </w:p>
    <w:p w:rsidR="00DB0394" w:rsidRPr="002B37A9" w:rsidRDefault="001567A7" w:rsidP="002B37A9">
      <w:pPr>
        <w:rPr>
          <w:rFonts w:ascii="仿宋" w:eastAsia="仿宋" w:hAnsi="仿宋" w:cs="仿宋_GB2312"/>
          <w:sz w:val="32"/>
          <w:szCs w:val="32"/>
        </w:rPr>
      </w:pPr>
      <w:r>
        <w:rPr>
          <w:rFonts w:ascii="仿宋" w:eastAsia="仿宋" w:hAnsi="仿宋" w:cs="仿宋_GB2312" w:hint="eastAsia"/>
          <w:sz w:val="32"/>
          <w:szCs w:val="32"/>
        </w:rPr>
        <w:t xml:space="preserve">    </w:t>
      </w:r>
      <w:r w:rsidRPr="00092F21">
        <w:rPr>
          <w:rFonts w:ascii="仿宋" w:eastAsia="仿宋" w:hAnsi="仿宋" w:hint="eastAsia"/>
          <w:bCs/>
          <w:color w:val="000000"/>
          <w:sz w:val="32"/>
          <w:szCs w:val="32"/>
        </w:rPr>
        <w:t>四川省地质矿产勘查开发局一○九地质队</w:t>
      </w:r>
      <w:r w:rsidRPr="00087030">
        <w:rPr>
          <w:rFonts w:ascii="仿宋" w:eastAsia="仿宋" w:hAnsi="仿宋" w:cs="仿宋_GB2312"/>
          <w:sz w:val="32"/>
          <w:szCs w:val="32"/>
        </w:rPr>
        <w:t>202</w:t>
      </w:r>
      <w:r w:rsidR="00CD7F03">
        <w:rPr>
          <w:rFonts w:ascii="仿宋" w:eastAsia="仿宋" w:hAnsi="仿宋" w:cs="仿宋_GB2312" w:hint="eastAsia"/>
          <w:sz w:val="32"/>
          <w:szCs w:val="32"/>
        </w:rPr>
        <w:t>2</w:t>
      </w:r>
      <w:r w:rsidRPr="00087030">
        <w:rPr>
          <w:rFonts w:ascii="仿宋" w:eastAsia="仿宋" w:hAnsi="仿宋" w:cs="仿宋_GB2312"/>
          <w:sz w:val="32"/>
          <w:szCs w:val="32"/>
        </w:rPr>
        <w:t>年</w:t>
      </w:r>
      <w:r>
        <w:rPr>
          <w:rFonts w:ascii="仿宋" w:eastAsia="仿宋" w:hAnsi="仿宋" w:cs="仿宋_GB2312" w:hint="eastAsia"/>
          <w:sz w:val="32"/>
          <w:szCs w:val="32"/>
        </w:rPr>
        <w:t>机关由14个科室组成，分别是</w:t>
      </w:r>
      <w:r w:rsidRPr="00087030">
        <w:rPr>
          <w:rFonts w:ascii="仿宋" w:eastAsia="仿宋" w:hAnsi="仿宋" w:cs="仿宋_GB2312"/>
          <w:sz w:val="32"/>
          <w:szCs w:val="32"/>
        </w:rPr>
        <w:t>：行政办公室、总工办、政工部、工会办公室、经营</w:t>
      </w:r>
      <w:r>
        <w:rPr>
          <w:rFonts w:ascii="仿宋" w:eastAsia="仿宋" w:hAnsi="仿宋" w:cs="仿宋_GB2312" w:hint="eastAsia"/>
          <w:sz w:val="32"/>
          <w:szCs w:val="32"/>
        </w:rPr>
        <w:t>科</w:t>
      </w:r>
      <w:r w:rsidRPr="00087030">
        <w:rPr>
          <w:rFonts w:ascii="仿宋" w:eastAsia="仿宋" w:hAnsi="仿宋" w:cs="仿宋_GB2312"/>
          <w:sz w:val="32"/>
          <w:szCs w:val="32"/>
        </w:rPr>
        <w:t>、</w:t>
      </w:r>
      <w:r>
        <w:rPr>
          <w:rFonts w:ascii="仿宋" w:eastAsia="仿宋" w:hAnsi="仿宋" w:cs="仿宋_GB2312" w:hint="eastAsia"/>
          <w:sz w:val="32"/>
          <w:szCs w:val="32"/>
        </w:rPr>
        <w:t>市场部、</w:t>
      </w:r>
      <w:r w:rsidRPr="00087030">
        <w:rPr>
          <w:rFonts w:ascii="仿宋" w:eastAsia="仿宋" w:hAnsi="仿宋" w:cs="仿宋_GB2312"/>
          <w:sz w:val="32"/>
          <w:szCs w:val="32"/>
        </w:rPr>
        <w:t>财务科、人事教育科、纪监办公室、审计科、技安科、离退休科、物业管理所（包括留守处）</w:t>
      </w:r>
      <w:r>
        <w:rPr>
          <w:rFonts w:ascii="仿宋" w:eastAsia="仿宋" w:hAnsi="仿宋" w:cs="仿宋_GB2312" w:hint="eastAsia"/>
          <w:sz w:val="32"/>
          <w:szCs w:val="32"/>
        </w:rPr>
        <w:t>、综合治理办公室。</w:t>
      </w:r>
      <w:r w:rsidRPr="00087030">
        <w:rPr>
          <w:rFonts w:ascii="仿宋" w:eastAsia="仿宋" w:hAnsi="仿宋" w:cs="仿宋_GB2312"/>
          <w:sz w:val="32"/>
          <w:szCs w:val="32"/>
        </w:rPr>
        <w:t>非独立经营实体</w:t>
      </w:r>
      <w:r w:rsidR="002B37A9">
        <w:rPr>
          <w:rFonts w:ascii="仿宋" w:eastAsia="仿宋" w:hAnsi="仿宋" w:cs="仿宋_GB2312" w:hint="eastAsia"/>
          <w:sz w:val="32"/>
          <w:szCs w:val="32"/>
        </w:rPr>
        <w:t>2</w:t>
      </w:r>
      <w:r w:rsidRPr="00087030">
        <w:rPr>
          <w:rFonts w:ascii="仿宋" w:eastAsia="仿宋" w:hAnsi="仿宋" w:cs="仿宋_GB2312"/>
          <w:sz w:val="32"/>
          <w:szCs w:val="32"/>
        </w:rPr>
        <w:t>个</w:t>
      </w:r>
      <w:r>
        <w:rPr>
          <w:rFonts w:ascii="仿宋" w:eastAsia="仿宋" w:hAnsi="仿宋" w:cs="仿宋_GB2312" w:hint="eastAsia"/>
          <w:sz w:val="32"/>
          <w:szCs w:val="32"/>
        </w:rPr>
        <w:t>，分别是：</w:t>
      </w:r>
      <w:r w:rsidR="002B37A9">
        <w:rPr>
          <w:rFonts w:ascii="仿宋" w:eastAsia="仿宋" w:hAnsi="仿宋" w:cs="仿宋_GB2312" w:hint="eastAsia"/>
          <w:sz w:val="32"/>
          <w:szCs w:val="32"/>
        </w:rPr>
        <w:t>地矿所、地调所。</w:t>
      </w:r>
    </w:p>
    <w:p w:rsidR="00556098" w:rsidRPr="00B41E2E" w:rsidRDefault="00D943F6" w:rsidP="00B41E2E">
      <w:pPr>
        <w:pStyle w:val="1"/>
        <w:ind w:right="440"/>
        <w:jc w:val="center"/>
        <w:rPr>
          <w:rFonts w:ascii="黑体" w:eastAsia="黑体" w:hAnsi="黑体"/>
          <w:b w:val="0"/>
        </w:rPr>
      </w:pPr>
      <w:bookmarkStart w:id="12" w:name="_Toc15377204"/>
      <w:bookmarkStart w:id="13" w:name="_Toc15396602"/>
      <w:r w:rsidRPr="00604314">
        <w:rPr>
          <w:rFonts w:ascii="黑体" w:eastAsia="黑体" w:hAnsi="黑体" w:hint="eastAsia"/>
          <w:b w:val="0"/>
        </w:rPr>
        <w:lastRenderedPageBreak/>
        <w:t>第二部分 202</w:t>
      </w:r>
      <w:r w:rsidR="00CD7F03">
        <w:rPr>
          <w:rFonts w:ascii="黑体" w:eastAsia="黑体" w:hAnsi="黑体" w:hint="eastAsia"/>
          <w:b w:val="0"/>
        </w:rPr>
        <w:t>2</w:t>
      </w:r>
      <w:r w:rsidRPr="00604314">
        <w:rPr>
          <w:rFonts w:ascii="黑体" w:eastAsia="黑体" w:hAnsi="黑体" w:hint="eastAsia"/>
          <w:b w:val="0"/>
        </w:rPr>
        <w:t>年度</w:t>
      </w:r>
      <w:r w:rsidR="000F312E">
        <w:rPr>
          <w:rStyle w:val="1Char"/>
          <w:rFonts w:ascii="黑体" w:eastAsia="黑体" w:hAnsi="黑体" w:hint="eastAsia"/>
        </w:rPr>
        <w:t>单位</w:t>
      </w:r>
      <w:r w:rsidRPr="00604314">
        <w:rPr>
          <w:rStyle w:val="1Char"/>
          <w:rFonts w:ascii="黑体" w:eastAsia="黑体" w:hAnsi="黑体" w:hint="eastAsia"/>
        </w:rPr>
        <w:t>决算情况说明</w:t>
      </w:r>
      <w:bookmarkEnd w:id="12"/>
      <w:bookmarkEnd w:id="13"/>
    </w:p>
    <w:p w:rsidR="00604314" w:rsidRDefault="00604314" w:rsidP="00604314">
      <w:pPr>
        <w:pStyle w:val="a9"/>
        <w:numPr>
          <w:ilvl w:val="0"/>
          <w:numId w:val="2"/>
        </w:numPr>
        <w:spacing w:line="600" w:lineRule="exact"/>
        <w:ind w:firstLineChars="0"/>
        <w:outlineLvl w:val="1"/>
        <w:rPr>
          <w:rStyle w:val="2Char"/>
          <w:rFonts w:ascii="黑体" w:eastAsia="黑体" w:hAnsi="黑体"/>
          <w:b w:val="0"/>
        </w:rPr>
      </w:pPr>
      <w:bookmarkStart w:id="14" w:name="_Toc15396603"/>
      <w:bookmarkStart w:id="15" w:name="_Toc15377205"/>
      <w:r>
        <w:rPr>
          <w:rFonts w:ascii="黑体" w:eastAsia="黑体" w:hAnsi="黑体" w:hint="eastAsia"/>
          <w:sz w:val="32"/>
          <w:szCs w:val="32"/>
        </w:rPr>
        <w:t>收</w:t>
      </w:r>
      <w:r w:rsidRPr="00604314">
        <w:rPr>
          <w:rStyle w:val="2Char"/>
          <w:rFonts w:ascii="黑体" w:eastAsia="黑体" w:hAnsi="黑体" w:hint="eastAsia"/>
          <w:b w:val="0"/>
        </w:rPr>
        <w:t>入支出决算总体情况说明</w:t>
      </w:r>
      <w:bookmarkEnd w:id="14"/>
      <w:bookmarkEnd w:id="15"/>
    </w:p>
    <w:p w:rsidR="00556098" w:rsidRPr="009F1AD3" w:rsidRDefault="00556098" w:rsidP="004B1CFD">
      <w:pPr>
        <w:ind w:firstLine="709"/>
        <w:rPr>
          <w:rFonts w:ascii="仿宋" w:eastAsia="仿宋" w:hAnsi="仿宋"/>
          <w:sz w:val="32"/>
          <w:szCs w:val="32"/>
        </w:rPr>
      </w:pPr>
      <w:r w:rsidRPr="00604314">
        <w:rPr>
          <w:rFonts w:ascii="仿宋" w:eastAsia="仿宋" w:hAnsi="仿宋" w:hint="eastAsia"/>
          <w:color w:val="000000"/>
          <w:sz w:val="32"/>
          <w:szCs w:val="32"/>
        </w:rPr>
        <w:t>202</w:t>
      </w:r>
      <w:r w:rsidR="00FF0EEA">
        <w:rPr>
          <w:rFonts w:ascii="仿宋" w:eastAsia="仿宋" w:hAnsi="仿宋" w:hint="eastAsia"/>
          <w:color w:val="000000"/>
          <w:sz w:val="32"/>
          <w:szCs w:val="32"/>
        </w:rPr>
        <w:t>2</w:t>
      </w:r>
      <w:r w:rsidRPr="00604314">
        <w:rPr>
          <w:rFonts w:ascii="仿宋" w:eastAsia="仿宋" w:hAnsi="仿宋" w:hint="eastAsia"/>
          <w:color w:val="000000"/>
          <w:sz w:val="32"/>
          <w:szCs w:val="32"/>
        </w:rPr>
        <w:t>年度收、支总计</w:t>
      </w:r>
      <w:r w:rsidR="00D06140">
        <w:rPr>
          <w:rFonts w:ascii="仿宋" w:eastAsia="仿宋" w:hAnsi="仿宋" w:hint="eastAsia"/>
          <w:color w:val="000000"/>
          <w:sz w:val="32"/>
          <w:szCs w:val="32"/>
        </w:rPr>
        <w:t>7337.58</w:t>
      </w:r>
      <w:r w:rsidRPr="00604314">
        <w:rPr>
          <w:rFonts w:ascii="仿宋" w:eastAsia="仿宋" w:hAnsi="仿宋" w:hint="eastAsia"/>
          <w:color w:val="000000"/>
          <w:sz w:val="32"/>
          <w:szCs w:val="32"/>
        </w:rPr>
        <w:t>万元。与20</w:t>
      </w:r>
      <w:r w:rsidR="00D02B3D">
        <w:rPr>
          <w:rFonts w:ascii="仿宋" w:eastAsia="仿宋" w:hAnsi="仿宋" w:hint="eastAsia"/>
          <w:color w:val="000000"/>
          <w:sz w:val="32"/>
          <w:szCs w:val="32"/>
        </w:rPr>
        <w:t>2</w:t>
      </w:r>
      <w:r w:rsidR="00FF0EEA">
        <w:rPr>
          <w:rFonts w:ascii="仿宋" w:eastAsia="仿宋" w:hAnsi="仿宋" w:hint="eastAsia"/>
          <w:color w:val="000000"/>
          <w:sz w:val="32"/>
          <w:szCs w:val="32"/>
        </w:rPr>
        <w:t>1</w:t>
      </w:r>
      <w:r w:rsidRPr="00604314">
        <w:rPr>
          <w:rFonts w:ascii="仿宋" w:eastAsia="仿宋" w:hAnsi="仿宋" w:hint="eastAsia"/>
          <w:color w:val="000000"/>
          <w:sz w:val="32"/>
          <w:szCs w:val="32"/>
        </w:rPr>
        <w:t>年相比，收、支总计各增加</w:t>
      </w:r>
      <w:r w:rsidR="001C12AD">
        <w:rPr>
          <w:rFonts w:ascii="仿宋" w:eastAsia="仿宋" w:hAnsi="仿宋" w:hint="eastAsia"/>
          <w:color w:val="000000"/>
          <w:sz w:val="32"/>
          <w:szCs w:val="32"/>
        </w:rPr>
        <w:t>40</w:t>
      </w:r>
      <w:r w:rsidR="00D06140">
        <w:rPr>
          <w:rFonts w:ascii="仿宋" w:eastAsia="仿宋" w:hAnsi="仿宋" w:hint="eastAsia"/>
          <w:color w:val="000000"/>
          <w:sz w:val="32"/>
          <w:szCs w:val="32"/>
        </w:rPr>
        <w:t>2</w:t>
      </w:r>
      <w:r w:rsidR="001C12AD">
        <w:rPr>
          <w:rFonts w:ascii="仿宋" w:eastAsia="仿宋" w:hAnsi="仿宋" w:hint="eastAsia"/>
          <w:color w:val="000000"/>
          <w:sz w:val="32"/>
          <w:szCs w:val="32"/>
        </w:rPr>
        <w:t>.</w:t>
      </w:r>
      <w:r w:rsidR="00D06140">
        <w:rPr>
          <w:rFonts w:ascii="仿宋" w:eastAsia="仿宋" w:hAnsi="仿宋" w:hint="eastAsia"/>
          <w:color w:val="000000"/>
          <w:sz w:val="32"/>
          <w:szCs w:val="32"/>
        </w:rPr>
        <w:t>99</w:t>
      </w:r>
      <w:r w:rsidRPr="00604314">
        <w:rPr>
          <w:rFonts w:ascii="仿宋" w:eastAsia="仿宋" w:hAnsi="仿宋" w:hint="eastAsia"/>
          <w:color w:val="000000"/>
          <w:sz w:val="32"/>
          <w:szCs w:val="32"/>
        </w:rPr>
        <w:t>万元，增长</w:t>
      </w:r>
      <w:r w:rsidR="00D06140">
        <w:rPr>
          <w:rFonts w:ascii="仿宋" w:eastAsia="仿宋" w:hAnsi="仿宋" w:hint="eastAsia"/>
          <w:color w:val="000000"/>
          <w:sz w:val="32"/>
          <w:szCs w:val="32"/>
        </w:rPr>
        <w:t>5.81</w:t>
      </w:r>
      <w:r w:rsidRPr="00604314">
        <w:rPr>
          <w:rFonts w:ascii="仿宋" w:eastAsia="仿宋" w:hAnsi="仿宋" w:hint="eastAsia"/>
          <w:color w:val="000000"/>
          <w:sz w:val="32"/>
          <w:szCs w:val="32"/>
        </w:rPr>
        <w:t>%。</w:t>
      </w:r>
      <w:r w:rsidRPr="009F1AD3">
        <w:rPr>
          <w:rFonts w:ascii="仿宋" w:eastAsia="仿宋" w:hAnsi="仿宋" w:hint="eastAsia"/>
          <w:sz w:val="32"/>
          <w:szCs w:val="32"/>
        </w:rPr>
        <w:t>主要变动原因</w:t>
      </w:r>
      <w:r w:rsidR="00604314" w:rsidRPr="009F1AD3">
        <w:rPr>
          <w:rFonts w:ascii="仿宋" w:eastAsia="仿宋" w:hAnsi="仿宋" w:hint="eastAsia"/>
          <w:sz w:val="32"/>
          <w:szCs w:val="32"/>
        </w:rPr>
        <w:t>是</w:t>
      </w:r>
      <w:r w:rsidR="004B1CFD" w:rsidRPr="009F1AD3">
        <w:rPr>
          <w:rFonts w:ascii="仿宋" w:eastAsia="仿宋" w:hAnsi="仿宋" w:hint="eastAsia"/>
          <w:sz w:val="32"/>
          <w:szCs w:val="32"/>
        </w:rPr>
        <w:t>较上年</w:t>
      </w:r>
      <w:r w:rsidR="009F1AD3" w:rsidRPr="009F1AD3">
        <w:rPr>
          <w:rFonts w:ascii="仿宋" w:eastAsia="仿宋" w:hAnsi="仿宋" w:hint="eastAsia"/>
          <w:sz w:val="32"/>
          <w:szCs w:val="32"/>
        </w:rPr>
        <w:t>经营收入</w:t>
      </w:r>
      <w:r w:rsidR="004B1CFD" w:rsidRPr="009F1AD3">
        <w:rPr>
          <w:rFonts w:ascii="仿宋" w:eastAsia="仿宋" w:hAnsi="仿宋" w:hint="eastAsia"/>
          <w:sz w:val="32"/>
          <w:szCs w:val="32"/>
        </w:rPr>
        <w:t>的增加。</w:t>
      </w:r>
    </w:p>
    <w:p w:rsidR="00CC2CD8" w:rsidRPr="00CC2CD8" w:rsidRDefault="00CC2CD8" w:rsidP="00604314">
      <w:pPr>
        <w:spacing w:line="600" w:lineRule="exact"/>
        <w:ind w:firstLine="1134"/>
        <w:rPr>
          <w:rFonts w:ascii="仿宋" w:eastAsia="仿宋" w:hAnsi="仿宋"/>
          <w:b/>
          <w:color w:val="000000"/>
          <w:sz w:val="32"/>
          <w:szCs w:val="32"/>
        </w:rPr>
      </w:pPr>
      <w:r>
        <w:rPr>
          <w:rFonts w:ascii="仿宋" w:eastAsia="仿宋" w:hAnsi="仿宋" w:hint="eastAsia"/>
          <w:color w:val="000000" w:themeColor="text1"/>
          <w:sz w:val="32"/>
          <w:szCs w:val="32"/>
        </w:rPr>
        <w:t xml:space="preserve">  </w:t>
      </w:r>
      <w:r w:rsidRPr="00CC2CD8">
        <w:rPr>
          <w:rFonts w:ascii="仿宋" w:eastAsia="仿宋" w:hAnsi="仿宋" w:hint="eastAsia"/>
          <w:b/>
          <w:color w:val="000000" w:themeColor="text1"/>
          <w:sz w:val="32"/>
          <w:szCs w:val="32"/>
        </w:rPr>
        <w:t xml:space="preserve"> 图1：收、支决算总计变动情况图</w:t>
      </w:r>
    </w:p>
    <w:p w:rsidR="00556098" w:rsidRPr="0080498B" w:rsidRDefault="00556098" w:rsidP="0080498B">
      <w:pPr>
        <w:ind w:firstLine="709"/>
        <w:rPr>
          <w:rFonts w:ascii="仿宋" w:eastAsia="仿宋" w:hAnsi="仿宋"/>
          <w:color w:val="000000"/>
          <w:sz w:val="32"/>
          <w:szCs w:val="32"/>
        </w:rPr>
      </w:pPr>
      <w:r>
        <w:rPr>
          <w:rFonts w:ascii="仿宋" w:eastAsia="仿宋" w:hAnsi="仿宋"/>
          <w:noProof/>
          <w:color w:val="000000"/>
          <w:sz w:val="32"/>
          <w:szCs w:val="32"/>
        </w:rPr>
        <w:drawing>
          <wp:inline distT="0" distB="0" distL="0" distR="0">
            <wp:extent cx="4312920" cy="258318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6098" w:rsidRPr="0080498B" w:rsidRDefault="00556098" w:rsidP="00556098">
      <w:pPr>
        <w:pStyle w:val="a9"/>
        <w:numPr>
          <w:ilvl w:val="0"/>
          <w:numId w:val="2"/>
        </w:numPr>
        <w:spacing w:line="600" w:lineRule="exact"/>
        <w:ind w:firstLineChars="0"/>
        <w:outlineLvl w:val="1"/>
        <w:rPr>
          <w:rFonts w:ascii="黑体" w:eastAsia="黑体" w:hAnsi="黑体"/>
          <w:bCs/>
          <w:sz w:val="32"/>
          <w:szCs w:val="32"/>
        </w:rPr>
      </w:pPr>
      <w:bookmarkStart w:id="16" w:name="_MON_1640380939"/>
      <w:bookmarkStart w:id="17" w:name="_MON_1671806326"/>
      <w:bookmarkStart w:id="18" w:name="_Toc15396604"/>
      <w:bookmarkStart w:id="19" w:name="_Toc15377206"/>
      <w:bookmarkEnd w:id="16"/>
      <w:bookmarkEnd w:id="17"/>
      <w:r w:rsidRPr="0080498B">
        <w:rPr>
          <w:rFonts w:ascii="黑体" w:eastAsia="黑体" w:hAnsi="黑体" w:hint="eastAsia"/>
          <w:sz w:val="32"/>
          <w:szCs w:val="32"/>
        </w:rPr>
        <w:t>收</w:t>
      </w:r>
      <w:r w:rsidRPr="0080498B">
        <w:rPr>
          <w:rFonts w:ascii="黑体" w:eastAsia="黑体" w:hAnsi="黑体" w:hint="eastAsia"/>
          <w:bCs/>
          <w:sz w:val="32"/>
          <w:szCs w:val="32"/>
        </w:rPr>
        <w:t>入决算情况说明</w:t>
      </w:r>
      <w:bookmarkEnd w:id="18"/>
      <w:bookmarkEnd w:id="19"/>
    </w:p>
    <w:p w:rsidR="00556098" w:rsidRPr="0080498B" w:rsidRDefault="00556098" w:rsidP="0080498B">
      <w:pPr>
        <w:spacing w:line="600" w:lineRule="exact"/>
        <w:ind w:firstLineChars="200" w:firstLine="640"/>
        <w:outlineLvl w:val="1"/>
        <w:rPr>
          <w:rFonts w:ascii="仿宋" w:eastAsia="仿宋" w:hAnsi="仿宋"/>
          <w:color w:val="000000"/>
          <w:sz w:val="32"/>
          <w:szCs w:val="32"/>
        </w:rPr>
      </w:pPr>
      <w:r w:rsidRPr="0080498B">
        <w:rPr>
          <w:rFonts w:ascii="仿宋" w:eastAsia="仿宋" w:hAnsi="仿宋" w:hint="eastAsia"/>
          <w:color w:val="000000"/>
          <w:sz w:val="32"/>
          <w:szCs w:val="32"/>
        </w:rPr>
        <w:t>202</w:t>
      </w:r>
      <w:r w:rsidR="00FF0EEA">
        <w:rPr>
          <w:rFonts w:ascii="仿宋" w:eastAsia="仿宋" w:hAnsi="仿宋" w:hint="eastAsia"/>
          <w:color w:val="000000"/>
          <w:sz w:val="32"/>
          <w:szCs w:val="32"/>
        </w:rPr>
        <w:t>2</w:t>
      </w:r>
      <w:r w:rsidRPr="0080498B">
        <w:rPr>
          <w:rFonts w:ascii="仿宋" w:eastAsia="仿宋" w:hAnsi="仿宋" w:hint="eastAsia"/>
          <w:color w:val="000000"/>
          <w:sz w:val="32"/>
          <w:szCs w:val="32"/>
        </w:rPr>
        <w:t>年本年收入合计</w:t>
      </w:r>
      <w:r w:rsidR="00D06140">
        <w:rPr>
          <w:rFonts w:ascii="仿宋" w:eastAsia="仿宋" w:hAnsi="仿宋" w:hint="eastAsia"/>
          <w:color w:val="000000"/>
          <w:sz w:val="32"/>
          <w:szCs w:val="32"/>
        </w:rPr>
        <w:t>7320.50</w:t>
      </w:r>
      <w:r w:rsidRPr="0080498B">
        <w:rPr>
          <w:rFonts w:ascii="仿宋" w:eastAsia="仿宋" w:hAnsi="仿宋" w:hint="eastAsia"/>
          <w:color w:val="000000"/>
          <w:sz w:val="32"/>
          <w:szCs w:val="32"/>
        </w:rPr>
        <w:t>万元，其中：一般公共预算财政拨款收入</w:t>
      </w:r>
      <w:r w:rsidR="00D06140">
        <w:rPr>
          <w:rFonts w:ascii="仿宋" w:eastAsia="仿宋" w:hAnsi="仿宋" w:hint="eastAsia"/>
          <w:color w:val="000000"/>
          <w:sz w:val="32"/>
          <w:szCs w:val="32"/>
        </w:rPr>
        <w:t>4870.78</w:t>
      </w:r>
      <w:r w:rsidRPr="0080498B">
        <w:rPr>
          <w:rFonts w:ascii="仿宋" w:eastAsia="仿宋" w:hAnsi="仿宋" w:hint="eastAsia"/>
          <w:color w:val="000000"/>
          <w:sz w:val="32"/>
          <w:szCs w:val="32"/>
        </w:rPr>
        <w:t>万元，占</w:t>
      </w:r>
      <w:r w:rsidR="00E83732">
        <w:rPr>
          <w:rFonts w:ascii="仿宋" w:eastAsia="仿宋" w:hAnsi="仿宋" w:hint="eastAsia"/>
          <w:color w:val="000000"/>
          <w:sz w:val="32"/>
          <w:szCs w:val="32"/>
        </w:rPr>
        <w:t>66.54</w:t>
      </w:r>
      <w:r w:rsidRPr="0080498B">
        <w:rPr>
          <w:rFonts w:ascii="仿宋" w:eastAsia="仿宋" w:hAnsi="仿宋" w:hint="eastAsia"/>
          <w:color w:val="000000"/>
          <w:sz w:val="32"/>
          <w:szCs w:val="32"/>
        </w:rPr>
        <w:t>%；经营收入</w:t>
      </w:r>
      <w:r w:rsidR="00E83732">
        <w:rPr>
          <w:rFonts w:ascii="仿宋" w:eastAsia="仿宋" w:hAnsi="仿宋" w:hint="eastAsia"/>
          <w:color w:val="000000"/>
          <w:sz w:val="32"/>
          <w:szCs w:val="32"/>
        </w:rPr>
        <w:t>2394.60</w:t>
      </w:r>
      <w:r w:rsidRPr="0080498B">
        <w:rPr>
          <w:rFonts w:ascii="仿宋" w:eastAsia="仿宋" w:hAnsi="仿宋" w:hint="eastAsia"/>
          <w:color w:val="000000"/>
          <w:sz w:val="32"/>
          <w:szCs w:val="32"/>
        </w:rPr>
        <w:t>万元，占</w:t>
      </w:r>
      <w:r w:rsidR="00E83732">
        <w:rPr>
          <w:rFonts w:ascii="仿宋" w:eastAsia="仿宋" w:hAnsi="仿宋" w:hint="eastAsia"/>
          <w:color w:val="000000"/>
          <w:sz w:val="32"/>
          <w:szCs w:val="32"/>
        </w:rPr>
        <w:t>32.71</w:t>
      </w:r>
      <w:r w:rsidRPr="0080498B">
        <w:rPr>
          <w:rFonts w:ascii="仿宋" w:eastAsia="仿宋" w:hAnsi="仿宋" w:hint="eastAsia"/>
          <w:color w:val="000000"/>
          <w:sz w:val="32"/>
          <w:szCs w:val="32"/>
        </w:rPr>
        <w:t>%</w:t>
      </w:r>
      <w:r w:rsidR="0080498B">
        <w:rPr>
          <w:rFonts w:ascii="仿宋" w:eastAsia="仿宋" w:hAnsi="仿宋" w:hint="eastAsia"/>
          <w:sz w:val="32"/>
          <w:szCs w:val="32"/>
        </w:rPr>
        <w:t>；</w:t>
      </w:r>
      <w:r w:rsidRPr="0080498B">
        <w:rPr>
          <w:rFonts w:ascii="仿宋" w:eastAsia="仿宋" w:hAnsi="仿宋" w:hint="eastAsia"/>
          <w:color w:val="000000"/>
          <w:sz w:val="32"/>
          <w:szCs w:val="32"/>
        </w:rPr>
        <w:t>其他收入</w:t>
      </w:r>
      <w:r w:rsidR="00E83732">
        <w:rPr>
          <w:rFonts w:ascii="仿宋" w:eastAsia="仿宋" w:hAnsi="仿宋" w:hint="eastAsia"/>
          <w:color w:val="000000"/>
          <w:sz w:val="32"/>
          <w:szCs w:val="32"/>
        </w:rPr>
        <w:t>55.12</w:t>
      </w:r>
      <w:r w:rsidRPr="0080498B">
        <w:rPr>
          <w:rFonts w:ascii="仿宋" w:eastAsia="仿宋" w:hAnsi="仿宋" w:hint="eastAsia"/>
          <w:color w:val="000000"/>
          <w:sz w:val="32"/>
          <w:szCs w:val="32"/>
        </w:rPr>
        <w:t>万元，占</w:t>
      </w:r>
      <w:r w:rsidR="001C12AD">
        <w:rPr>
          <w:rFonts w:ascii="仿宋" w:eastAsia="仿宋" w:hAnsi="仿宋" w:hint="eastAsia"/>
          <w:color w:val="000000"/>
          <w:sz w:val="32"/>
          <w:szCs w:val="32"/>
        </w:rPr>
        <w:t>0.</w:t>
      </w:r>
      <w:r w:rsidR="00E83732">
        <w:rPr>
          <w:rFonts w:ascii="仿宋" w:eastAsia="仿宋" w:hAnsi="仿宋" w:hint="eastAsia"/>
          <w:color w:val="000000"/>
          <w:sz w:val="32"/>
          <w:szCs w:val="32"/>
        </w:rPr>
        <w:t>75</w:t>
      </w:r>
      <w:r w:rsidRPr="0080498B">
        <w:rPr>
          <w:rFonts w:ascii="仿宋" w:eastAsia="仿宋" w:hAnsi="仿宋" w:hint="eastAsia"/>
          <w:color w:val="000000"/>
          <w:sz w:val="32"/>
          <w:szCs w:val="32"/>
        </w:rPr>
        <w:t>%。</w:t>
      </w:r>
    </w:p>
    <w:p w:rsidR="00556098" w:rsidRPr="0080498B" w:rsidRDefault="0080498B" w:rsidP="001174D8">
      <w:pPr>
        <w:spacing w:line="600" w:lineRule="exact"/>
        <w:jc w:val="left"/>
        <w:outlineLvl w:val="1"/>
        <w:rPr>
          <w:rFonts w:ascii="仿宋" w:eastAsia="仿宋" w:hAnsi="仿宋"/>
          <w:b/>
          <w:color w:val="000000"/>
          <w:sz w:val="32"/>
          <w:szCs w:val="32"/>
        </w:rPr>
      </w:pPr>
      <w:r w:rsidRPr="0080498B">
        <w:rPr>
          <w:rFonts w:ascii="仿宋" w:eastAsia="仿宋" w:hAnsi="仿宋" w:hint="eastAsia"/>
          <w:b/>
          <w:noProof/>
          <w:color w:val="000000" w:themeColor="text1"/>
          <w:sz w:val="32"/>
          <w:szCs w:val="32"/>
        </w:rPr>
        <w:drawing>
          <wp:anchor distT="0" distB="0" distL="114300" distR="114300" simplePos="0" relativeHeight="251660288" behindDoc="0" locked="0" layoutInCell="1" allowOverlap="1">
            <wp:simplePos x="0" y="0"/>
            <wp:positionH relativeFrom="column">
              <wp:posOffset>449580</wp:posOffset>
            </wp:positionH>
            <wp:positionV relativeFrom="paragraph">
              <wp:posOffset>381000</wp:posOffset>
            </wp:positionV>
            <wp:extent cx="4427220" cy="2263140"/>
            <wp:effectExtent l="0" t="0" r="0" b="0"/>
            <wp:wrapTopAndBottom/>
            <wp:docPr id="3"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1174D8">
        <w:rPr>
          <w:rFonts w:ascii="仿宋" w:eastAsia="仿宋" w:hAnsi="仿宋" w:hint="eastAsia"/>
          <w:b/>
          <w:color w:val="000000" w:themeColor="text1"/>
          <w:sz w:val="32"/>
          <w:szCs w:val="32"/>
        </w:rPr>
        <w:t xml:space="preserve">              </w:t>
      </w:r>
      <w:r w:rsidR="00556098" w:rsidRPr="0080498B">
        <w:rPr>
          <w:rFonts w:ascii="仿宋" w:eastAsia="仿宋" w:hAnsi="仿宋" w:hint="eastAsia"/>
          <w:b/>
          <w:color w:val="000000" w:themeColor="text1"/>
          <w:sz w:val="32"/>
          <w:szCs w:val="32"/>
        </w:rPr>
        <w:t>图2：收入决算结构图</w:t>
      </w:r>
    </w:p>
    <w:p w:rsidR="00556098" w:rsidRPr="00887928" w:rsidRDefault="00556098" w:rsidP="00556098">
      <w:pPr>
        <w:spacing w:line="600" w:lineRule="exact"/>
        <w:ind w:firstLineChars="200" w:firstLine="640"/>
        <w:outlineLvl w:val="1"/>
        <w:rPr>
          <w:rFonts w:ascii="仿宋" w:eastAsia="仿宋" w:hAnsi="仿宋"/>
          <w:color w:val="000000"/>
          <w:sz w:val="32"/>
          <w:szCs w:val="32"/>
        </w:rPr>
      </w:pPr>
    </w:p>
    <w:p w:rsidR="00556098" w:rsidRPr="00F877E2" w:rsidRDefault="00556098" w:rsidP="00556098">
      <w:pPr>
        <w:pStyle w:val="a9"/>
        <w:numPr>
          <w:ilvl w:val="0"/>
          <w:numId w:val="2"/>
        </w:numPr>
        <w:spacing w:line="600" w:lineRule="exact"/>
        <w:ind w:firstLineChars="0"/>
        <w:outlineLvl w:val="1"/>
        <w:rPr>
          <w:rFonts w:ascii="黑体" w:eastAsia="黑体" w:hAnsi="黑体"/>
          <w:bCs/>
          <w:sz w:val="32"/>
          <w:szCs w:val="32"/>
        </w:rPr>
      </w:pPr>
      <w:bookmarkStart w:id="20" w:name="_Toc15396605"/>
      <w:bookmarkStart w:id="21" w:name="_Toc15377207"/>
      <w:r w:rsidRPr="00F877E2">
        <w:rPr>
          <w:rFonts w:ascii="黑体" w:eastAsia="黑体" w:hAnsi="黑体" w:hint="eastAsia"/>
          <w:sz w:val="32"/>
          <w:szCs w:val="32"/>
        </w:rPr>
        <w:t>支</w:t>
      </w:r>
      <w:r w:rsidRPr="00F877E2">
        <w:rPr>
          <w:rFonts w:ascii="黑体" w:eastAsia="黑体" w:hAnsi="黑体" w:hint="eastAsia"/>
          <w:bCs/>
          <w:sz w:val="32"/>
          <w:szCs w:val="32"/>
        </w:rPr>
        <w:t>出决算情况说明</w:t>
      </w:r>
      <w:bookmarkEnd w:id="20"/>
      <w:bookmarkEnd w:id="21"/>
    </w:p>
    <w:p w:rsidR="00790663" w:rsidRDefault="00556098" w:rsidP="00134D58">
      <w:pPr>
        <w:spacing w:line="600" w:lineRule="exact"/>
        <w:ind w:firstLineChars="200" w:firstLine="640"/>
        <w:outlineLvl w:val="1"/>
        <w:rPr>
          <w:rFonts w:ascii="仿宋" w:eastAsia="仿宋" w:hAnsi="仿宋"/>
          <w:sz w:val="32"/>
          <w:szCs w:val="32"/>
        </w:rPr>
      </w:pPr>
      <w:r w:rsidRPr="00F877E2">
        <w:rPr>
          <w:rFonts w:ascii="仿宋" w:eastAsia="仿宋" w:hAnsi="仿宋" w:hint="eastAsia"/>
          <w:color w:val="000000"/>
          <w:sz w:val="32"/>
          <w:szCs w:val="32"/>
        </w:rPr>
        <w:t>202</w:t>
      </w:r>
      <w:r w:rsidR="00E83732">
        <w:rPr>
          <w:rFonts w:ascii="仿宋" w:eastAsia="仿宋" w:hAnsi="仿宋" w:hint="eastAsia"/>
          <w:color w:val="000000"/>
          <w:sz w:val="32"/>
          <w:szCs w:val="32"/>
        </w:rPr>
        <w:t>2</w:t>
      </w:r>
      <w:r w:rsidRPr="00F877E2">
        <w:rPr>
          <w:rFonts w:ascii="仿宋" w:eastAsia="仿宋" w:hAnsi="仿宋" w:hint="eastAsia"/>
          <w:color w:val="000000"/>
          <w:sz w:val="32"/>
          <w:szCs w:val="32"/>
        </w:rPr>
        <w:t>年本年支出合计</w:t>
      </w:r>
      <w:r w:rsidR="001A0DBF">
        <w:rPr>
          <w:rFonts w:ascii="仿宋" w:eastAsia="仿宋" w:hAnsi="仿宋" w:hint="eastAsia"/>
          <w:color w:val="000000"/>
          <w:sz w:val="32"/>
          <w:szCs w:val="32"/>
        </w:rPr>
        <w:t>6861.23</w:t>
      </w:r>
      <w:r w:rsidRPr="00F877E2">
        <w:rPr>
          <w:rFonts w:ascii="仿宋" w:eastAsia="仿宋" w:hAnsi="仿宋" w:hint="eastAsia"/>
          <w:color w:val="000000"/>
          <w:sz w:val="32"/>
          <w:szCs w:val="32"/>
        </w:rPr>
        <w:t>万元，其中：基本支出</w:t>
      </w:r>
      <w:r w:rsidR="001A0DBF">
        <w:rPr>
          <w:rFonts w:ascii="仿宋" w:eastAsia="仿宋" w:hAnsi="仿宋" w:hint="eastAsia"/>
          <w:color w:val="000000"/>
          <w:sz w:val="32"/>
          <w:szCs w:val="32"/>
        </w:rPr>
        <w:t>4799.78</w:t>
      </w:r>
      <w:r w:rsidRPr="00F877E2">
        <w:rPr>
          <w:rFonts w:ascii="仿宋" w:eastAsia="仿宋" w:hAnsi="仿宋" w:hint="eastAsia"/>
          <w:color w:val="000000"/>
          <w:sz w:val="32"/>
          <w:szCs w:val="32"/>
        </w:rPr>
        <w:t>万元，占</w:t>
      </w:r>
      <w:r w:rsidR="001A0DBF">
        <w:rPr>
          <w:rFonts w:ascii="仿宋" w:eastAsia="仿宋" w:hAnsi="仿宋" w:hint="eastAsia"/>
          <w:color w:val="000000"/>
          <w:sz w:val="32"/>
          <w:szCs w:val="32"/>
        </w:rPr>
        <w:t>69.96</w:t>
      </w:r>
      <w:r w:rsidRPr="00F877E2">
        <w:rPr>
          <w:rFonts w:ascii="仿宋" w:eastAsia="仿宋" w:hAnsi="仿宋" w:hint="eastAsia"/>
          <w:color w:val="000000"/>
          <w:sz w:val="32"/>
          <w:szCs w:val="32"/>
        </w:rPr>
        <w:t>%</w:t>
      </w:r>
      <w:r w:rsidR="001A0DBF">
        <w:rPr>
          <w:rFonts w:ascii="仿宋" w:eastAsia="仿宋" w:hAnsi="仿宋" w:hint="eastAsia"/>
          <w:color w:val="000000"/>
          <w:sz w:val="32"/>
          <w:szCs w:val="32"/>
        </w:rPr>
        <w:t>；</w:t>
      </w:r>
      <w:r w:rsidRPr="00F877E2">
        <w:rPr>
          <w:rFonts w:ascii="仿宋" w:eastAsia="仿宋" w:hAnsi="仿宋" w:hint="eastAsia"/>
          <w:color w:val="000000"/>
          <w:sz w:val="32"/>
          <w:szCs w:val="32"/>
        </w:rPr>
        <w:t>项目支出</w:t>
      </w:r>
      <w:r w:rsidR="001A0DBF">
        <w:rPr>
          <w:rFonts w:ascii="仿宋" w:eastAsia="仿宋" w:hAnsi="仿宋" w:hint="eastAsia"/>
          <w:color w:val="000000"/>
          <w:sz w:val="32"/>
          <w:szCs w:val="32"/>
        </w:rPr>
        <w:t>88.07</w:t>
      </w:r>
      <w:r w:rsidRPr="00F877E2">
        <w:rPr>
          <w:rFonts w:ascii="仿宋" w:eastAsia="仿宋" w:hAnsi="仿宋" w:hint="eastAsia"/>
          <w:color w:val="000000"/>
          <w:sz w:val="32"/>
          <w:szCs w:val="32"/>
        </w:rPr>
        <w:t>万元，占</w:t>
      </w:r>
      <w:r w:rsidR="001A0DBF">
        <w:rPr>
          <w:rFonts w:ascii="仿宋" w:eastAsia="仿宋" w:hAnsi="仿宋" w:hint="eastAsia"/>
          <w:color w:val="000000"/>
          <w:sz w:val="32"/>
          <w:szCs w:val="32"/>
        </w:rPr>
        <w:t>1.28</w:t>
      </w:r>
      <w:r w:rsidRPr="00F877E2">
        <w:rPr>
          <w:rFonts w:ascii="仿宋" w:eastAsia="仿宋" w:hAnsi="仿宋" w:hint="eastAsia"/>
          <w:color w:val="000000"/>
          <w:sz w:val="32"/>
          <w:szCs w:val="32"/>
        </w:rPr>
        <w:t>%；经营支出</w:t>
      </w:r>
      <w:r w:rsidR="001A0DBF">
        <w:rPr>
          <w:rFonts w:ascii="仿宋" w:eastAsia="仿宋" w:hAnsi="仿宋" w:hint="eastAsia"/>
          <w:color w:val="000000"/>
          <w:sz w:val="32"/>
          <w:szCs w:val="32"/>
        </w:rPr>
        <w:t>1973.38</w:t>
      </w:r>
      <w:r w:rsidRPr="00F877E2">
        <w:rPr>
          <w:rFonts w:ascii="仿宋" w:eastAsia="仿宋" w:hAnsi="仿宋" w:hint="eastAsia"/>
          <w:color w:val="000000"/>
          <w:sz w:val="32"/>
          <w:szCs w:val="32"/>
        </w:rPr>
        <w:t>万元，占</w:t>
      </w:r>
      <w:r w:rsidR="001A0DBF">
        <w:rPr>
          <w:rFonts w:ascii="仿宋" w:eastAsia="仿宋" w:hAnsi="仿宋" w:hint="eastAsia"/>
          <w:color w:val="000000"/>
          <w:sz w:val="32"/>
          <w:szCs w:val="32"/>
        </w:rPr>
        <w:t>28.76</w:t>
      </w:r>
      <w:r w:rsidRPr="00F877E2">
        <w:rPr>
          <w:rFonts w:ascii="仿宋" w:eastAsia="仿宋" w:hAnsi="仿宋" w:hint="eastAsia"/>
          <w:color w:val="000000"/>
          <w:sz w:val="32"/>
          <w:szCs w:val="32"/>
        </w:rPr>
        <w:t>%</w:t>
      </w:r>
      <w:r w:rsidR="00790663">
        <w:rPr>
          <w:rFonts w:ascii="仿宋" w:eastAsia="仿宋" w:hAnsi="仿宋" w:hint="eastAsia"/>
          <w:sz w:val="32"/>
          <w:szCs w:val="32"/>
        </w:rPr>
        <w:t>。</w:t>
      </w:r>
    </w:p>
    <w:p w:rsidR="001D6EB0" w:rsidRDefault="001D6EB0" w:rsidP="00134D58">
      <w:pPr>
        <w:spacing w:line="600" w:lineRule="exact"/>
        <w:ind w:firstLineChars="200" w:firstLine="640"/>
        <w:outlineLvl w:val="1"/>
        <w:rPr>
          <w:rFonts w:ascii="仿宋" w:eastAsia="仿宋" w:hAnsi="仿宋"/>
          <w:sz w:val="32"/>
          <w:szCs w:val="32"/>
        </w:rPr>
      </w:pPr>
    </w:p>
    <w:p w:rsidR="00134D58" w:rsidRPr="00134D58" w:rsidRDefault="00134D58" w:rsidP="00134D58">
      <w:pPr>
        <w:spacing w:line="600" w:lineRule="exact"/>
        <w:ind w:firstLine="640"/>
        <w:rPr>
          <w:rFonts w:ascii="仿宋" w:eastAsia="仿宋" w:hAnsi="仿宋"/>
          <w:b/>
          <w:color w:val="000000" w:themeColor="text1"/>
          <w:sz w:val="32"/>
          <w:szCs w:val="32"/>
        </w:rPr>
      </w:pPr>
      <w:r>
        <w:rPr>
          <w:rFonts w:ascii="仿宋" w:eastAsia="仿宋" w:hAnsi="仿宋" w:hint="eastAsia"/>
          <w:b/>
          <w:noProof/>
          <w:color w:val="000000" w:themeColor="text1"/>
          <w:sz w:val="32"/>
          <w:szCs w:val="32"/>
        </w:rPr>
        <w:drawing>
          <wp:anchor distT="0" distB="0" distL="114300" distR="114300" simplePos="0" relativeHeight="251680768" behindDoc="0" locked="0" layoutInCell="1" allowOverlap="1">
            <wp:simplePos x="0" y="0"/>
            <wp:positionH relativeFrom="column">
              <wp:posOffset>579120</wp:posOffset>
            </wp:positionH>
            <wp:positionV relativeFrom="paragraph">
              <wp:posOffset>388620</wp:posOffset>
            </wp:positionV>
            <wp:extent cx="4015740" cy="2415540"/>
            <wp:effectExtent l="19050" t="0" r="0" b="0"/>
            <wp:wrapTopAndBottom/>
            <wp:docPr id="7"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 w:eastAsia="仿宋" w:hAnsi="仿宋" w:hint="eastAsia"/>
          <w:b/>
          <w:color w:val="000000" w:themeColor="text1"/>
          <w:sz w:val="32"/>
          <w:szCs w:val="32"/>
        </w:rPr>
        <w:t xml:space="preserve">         </w:t>
      </w:r>
      <w:r w:rsidRPr="00134D58">
        <w:rPr>
          <w:rFonts w:ascii="仿宋" w:eastAsia="仿宋" w:hAnsi="仿宋" w:hint="eastAsia"/>
          <w:b/>
          <w:color w:val="000000" w:themeColor="text1"/>
          <w:sz w:val="32"/>
          <w:szCs w:val="32"/>
        </w:rPr>
        <w:t>图3：支出决算结构图</w:t>
      </w:r>
    </w:p>
    <w:p w:rsidR="00BC04FD" w:rsidRDefault="00BC04FD" w:rsidP="00BC04FD">
      <w:pPr>
        <w:spacing w:line="600" w:lineRule="exact"/>
        <w:ind w:firstLine="640"/>
        <w:rPr>
          <w:rFonts w:ascii="仿宋" w:eastAsia="仿宋" w:hAnsi="仿宋"/>
          <w:color w:val="000000" w:themeColor="text1"/>
          <w:sz w:val="32"/>
          <w:szCs w:val="32"/>
        </w:rPr>
      </w:pPr>
      <w:bookmarkStart w:id="22" w:name="_Toc15396606"/>
      <w:bookmarkStart w:id="23" w:name="_Toc15377208"/>
    </w:p>
    <w:p w:rsidR="00134D58" w:rsidRDefault="00134D58" w:rsidP="00BC04FD">
      <w:pPr>
        <w:spacing w:line="600" w:lineRule="exact"/>
        <w:ind w:firstLine="640"/>
        <w:rPr>
          <w:rFonts w:ascii="仿宋" w:eastAsia="仿宋" w:hAnsi="仿宋"/>
          <w:color w:val="000000" w:themeColor="text1"/>
          <w:sz w:val="32"/>
          <w:szCs w:val="32"/>
        </w:rPr>
      </w:pPr>
    </w:p>
    <w:p w:rsidR="00232D68" w:rsidRDefault="00232D68" w:rsidP="00BC04FD">
      <w:pPr>
        <w:spacing w:line="600" w:lineRule="exact"/>
        <w:ind w:firstLine="640"/>
        <w:rPr>
          <w:rFonts w:ascii="仿宋" w:eastAsia="仿宋" w:hAnsi="仿宋"/>
          <w:color w:val="000000" w:themeColor="text1"/>
          <w:sz w:val="32"/>
          <w:szCs w:val="32"/>
        </w:rPr>
      </w:pPr>
    </w:p>
    <w:bookmarkEnd w:id="22"/>
    <w:bookmarkEnd w:id="23"/>
    <w:p w:rsidR="006D0771" w:rsidRDefault="006D0771" w:rsidP="000A4C2A">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四、财</w:t>
      </w:r>
      <w:r w:rsidRPr="006D0771">
        <w:rPr>
          <w:rStyle w:val="2Char"/>
          <w:rFonts w:ascii="黑体" w:eastAsia="黑体" w:hAnsi="黑体" w:hint="eastAsia"/>
          <w:b w:val="0"/>
        </w:rPr>
        <w:t>政拨款收入支出决算总体情况说明</w:t>
      </w:r>
    </w:p>
    <w:p w:rsidR="001D2EF3" w:rsidRDefault="000A4C2A" w:rsidP="000A4C2A">
      <w:pPr>
        <w:spacing w:line="600" w:lineRule="exact"/>
        <w:ind w:firstLine="200"/>
        <w:rPr>
          <w:rFonts w:ascii="仿宋" w:eastAsia="仿宋" w:hAnsi="仿宋"/>
          <w:sz w:val="32"/>
          <w:szCs w:val="32"/>
        </w:rPr>
      </w:pPr>
      <w:r>
        <w:rPr>
          <w:rFonts w:ascii="仿宋" w:eastAsia="仿宋" w:hAnsi="仿宋" w:hint="eastAsia"/>
          <w:sz w:val="32"/>
          <w:szCs w:val="32"/>
        </w:rPr>
        <w:t xml:space="preserve">   </w:t>
      </w:r>
      <w:r w:rsidR="00556098" w:rsidRPr="006D0771">
        <w:rPr>
          <w:rFonts w:ascii="仿宋" w:eastAsia="仿宋" w:hAnsi="仿宋"/>
          <w:sz w:val="32"/>
          <w:szCs w:val="32"/>
        </w:rPr>
        <w:t>20</w:t>
      </w:r>
      <w:r w:rsidR="00556098" w:rsidRPr="006D0771">
        <w:rPr>
          <w:rFonts w:ascii="仿宋" w:eastAsia="仿宋" w:hAnsi="仿宋" w:hint="eastAsia"/>
          <w:sz w:val="32"/>
          <w:szCs w:val="32"/>
        </w:rPr>
        <w:t>2</w:t>
      </w:r>
      <w:r w:rsidR="00787CA0">
        <w:rPr>
          <w:rFonts w:ascii="仿宋" w:eastAsia="仿宋" w:hAnsi="仿宋" w:hint="eastAsia"/>
          <w:sz w:val="32"/>
          <w:szCs w:val="32"/>
        </w:rPr>
        <w:t>2</w:t>
      </w:r>
      <w:r w:rsidR="00556098" w:rsidRPr="006D0771">
        <w:rPr>
          <w:rFonts w:ascii="仿宋" w:eastAsia="仿宋" w:hAnsi="仿宋" w:hint="eastAsia"/>
          <w:sz w:val="32"/>
          <w:szCs w:val="32"/>
        </w:rPr>
        <w:t>年财政拨款收、支总计</w:t>
      </w:r>
      <w:r w:rsidR="00322513">
        <w:rPr>
          <w:rFonts w:ascii="仿宋" w:eastAsia="仿宋" w:hAnsi="仿宋" w:hint="eastAsia"/>
          <w:sz w:val="32"/>
          <w:szCs w:val="32"/>
        </w:rPr>
        <w:t>4870.78</w:t>
      </w:r>
      <w:r w:rsidR="00556098" w:rsidRPr="006D0771">
        <w:rPr>
          <w:rFonts w:ascii="仿宋" w:eastAsia="仿宋" w:hAnsi="仿宋" w:hint="eastAsia"/>
          <w:sz w:val="32"/>
          <w:szCs w:val="32"/>
        </w:rPr>
        <w:t>万元。与</w:t>
      </w:r>
      <w:r w:rsidR="00556098" w:rsidRPr="006D0771">
        <w:rPr>
          <w:rFonts w:ascii="仿宋" w:eastAsia="仿宋" w:hAnsi="仿宋"/>
          <w:sz w:val="32"/>
          <w:szCs w:val="32"/>
        </w:rPr>
        <w:t>20</w:t>
      </w:r>
      <w:r w:rsidR="00322513">
        <w:rPr>
          <w:rFonts w:ascii="仿宋" w:eastAsia="仿宋" w:hAnsi="仿宋" w:hint="eastAsia"/>
          <w:sz w:val="32"/>
          <w:szCs w:val="32"/>
        </w:rPr>
        <w:t>21</w:t>
      </w:r>
      <w:r w:rsidR="00556098" w:rsidRPr="006D0771">
        <w:rPr>
          <w:rFonts w:ascii="仿宋" w:eastAsia="仿宋" w:hAnsi="仿宋" w:hint="eastAsia"/>
          <w:sz w:val="32"/>
          <w:szCs w:val="32"/>
        </w:rPr>
        <w:t>年相比，财政拨款收、支总计各</w:t>
      </w:r>
      <w:r w:rsidR="00707AF2">
        <w:rPr>
          <w:rFonts w:ascii="仿宋" w:eastAsia="仿宋" w:hAnsi="仿宋" w:hint="eastAsia"/>
          <w:sz w:val="32"/>
          <w:szCs w:val="32"/>
        </w:rPr>
        <w:t>减少2</w:t>
      </w:r>
      <w:r w:rsidR="00322513">
        <w:rPr>
          <w:rFonts w:ascii="仿宋" w:eastAsia="仿宋" w:hAnsi="仿宋" w:hint="eastAsia"/>
          <w:sz w:val="32"/>
          <w:szCs w:val="32"/>
        </w:rPr>
        <w:t>97.34</w:t>
      </w:r>
      <w:r w:rsidR="00556098" w:rsidRPr="006D0771">
        <w:rPr>
          <w:rFonts w:ascii="仿宋" w:eastAsia="仿宋" w:hAnsi="仿宋" w:hint="eastAsia"/>
          <w:sz w:val="32"/>
          <w:szCs w:val="32"/>
        </w:rPr>
        <w:t>万元，</w:t>
      </w:r>
      <w:r w:rsidR="00083A52">
        <w:rPr>
          <w:rFonts w:ascii="仿宋" w:eastAsia="仿宋" w:hAnsi="仿宋" w:hint="eastAsia"/>
          <w:sz w:val="32"/>
          <w:szCs w:val="32"/>
        </w:rPr>
        <w:t>下降</w:t>
      </w:r>
      <w:r w:rsidR="00707AF2">
        <w:rPr>
          <w:rFonts w:ascii="仿宋" w:eastAsia="仿宋" w:hAnsi="仿宋" w:hint="eastAsia"/>
          <w:sz w:val="32"/>
          <w:szCs w:val="32"/>
        </w:rPr>
        <w:t>5.</w:t>
      </w:r>
      <w:r w:rsidR="00322513">
        <w:rPr>
          <w:rFonts w:ascii="仿宋" w:eastAsia="仿宋" w:hAnsi="仿宋" w:hint="eastAsia"/>
          <w:sz w:val="32"/>
          <w:szCs w:val="32"/>
        </w:rPr>
        <w:t>75</w:t>
      </w:r>
      <w:r w:rsidR="00556098" w:rsidRPr="006D0771">
        <w:rPr>
          <w:rFonts w:ascii="仿宋" w:eastAsia="仿宋" w:hAnsi="仿宋"/>
          <w:sz w:val="32"/>
          <w:szCs w:val="32"/>
        </w:rPr>
        <w:t>%</w:t>
      </w:r>
      <w:r w:rsidR="00556098" w:rsidRPr="006D0771">
        <w:rPr>
          <w:rFonts w:ascii="仿宋" w:eastAsia="仿宋" w:hAnsi="仿宋" w:hint="eastAsia"/>
          <w:sz w:val="32"/>
          <w:szCs w:val="32"/>
        </w:rPr>
        <w:t>。</w:t>
      </w:r>
      <w:r w:rsidR="006D0771" w:rsidRPr="009F1AD3">
        <w:rPr>
          <w:rFonts w:ascii="仿宋" w:eastAsia="仿宋" w:hAnsi="仿宋" w:hint="eastAsia"/>
          <w:sz w:val="32"/>
          <w:szCs w:val="32"/>
        </w:rPr>
        <w:t>主要变动原因是</w:t>
      </w:r>
      <w:r w:rsidR="006C6BBF" w:rsidRPr="009F1AD3">
        <w:rPr>
          <w:rFonts w:ascii="仿宋" w:eastAsia="仿宋" w:hAnsi="仿宋"/>
          <w:sz w:val="32"/>
          <w:szCs w:val="32"/>
        </w:rPr>
        <w:t>主管部门集中收入</w:t>
      </w:r>
      <w:r w:rsidR="00596D60" w:rsidRPr="009F1AD3">
        <w:rPr>
          <w:rFonts w:ascii="仿宋" w:eastAsia="仿宋" w:hAnsi="仿宋" w:hint="eastAsia"/>
          <w:sz w:val="32"/>
          <w:szCs w:val="32"/>
        </w:rPr>
        <w:t>的减少</w:t>
      </w:r>
      <w:r w:rsidR="00943B4A" w:rsidRPr="009F1AD3">
        <w:rPr>
          <w:rFonts w:ascii="仿宋" w:eastAsia="仿宋" w:hAnsi="仿宋" w:hint="eastAsia"/>
          <w:sz w:val="32"/>
          <w:szCs w:val="32"/>
        </w:rPr>
        <w:t>，</w:t>
      </w:r>
      <w:r w:rsidR="00596D60" w:rsidRPr="009F1AD3">
        <w:rPr>
          <w:rFonts w:ascii="仿宋" w:eastAsia="仿宋" w:hAnsi="仿宋" w:hint="eastAsia"/>
          <w:sz w:val="32"/>
          <w:szCs w:val="32"/>
        </w:rPr>
        <w:t>以及</w:t>
      </w:r>
      <w:r w:rsidR="009F1AD3" w:rsidRPr="009F1AD3">
        <w:rPr>
          <w:rFonts w:ascii="仿宋" w:eastAsia="仿宋" w:hAnsi="仿宋" w:hint="eastAsia"/>
          <w:sz w:val="32"/>
          <w:szCs w:val="32"/>
        </w:rPr>
        <w:t>人员经费</w:t>
      </w:r>
      <w:r w:rsidR="006C6BBF" w:rsidRPr="009F1AD3">
        <w:rPr>
          <w:rFonts w:ascii="仿宋" w:eastAsia="仿宋" w:hAnsi="仿宋" w:hint="eastAsia"/>
          <w:sz w:val="32"/>
          <w:szCs w:val="32"/>
        </w:rPr>
        <w:t>财政拨款</w:t>
      </w:r>
      <w:r w:rsidR="009F1AD3" w:rsidRPr="009F1AD3">
        <w:rPr>
          <w:rFonts w:ascii="仿宋" w:eastAsia="仿宋" w:hAnsi="仿宋" w:hint="eastAsia"/>
          <w:sz w:val="32"/>
          <w:szCs w:val="32"/>
        </w:rPr>
        <w:t>减少</w:t>
      </w:r>
      <w:r w:rsidR="006C6BBF" w:rsidRPr="009F1AD3">
        <w:rPr>
          <w:rFonts w:ascii="仿宋" w:eastAsia="仿宋" w:hAnsi="仿宋"/>
          <w:sz w:val="32"/>
          <w:szCs w:val="32"/>
        </w:rPr>
        <w:t>。</w:t>
      </w:r>
    </w:p>
    <w:p w:rsidR="001D6EB0" w:rsidRPr="00083A52" w:rsidRDefault="001D6EB0" w:rsidP="000A4C2A">
      <w:pPr>
        <w:spacing w:line="600" w:lineRule="exact"/>
        <w:ind w:firstLine="200"/>
        <w:rPr>
          <w:rFonts w:ascii="仿宋" w:eastAsia="仿宋" w:hAnsi="仿宋"/>
          <w:sz w:val="32"/>
          <w:szCs w:val="32"/>
        </w:rPr>
      </w:pPr>
    </w:p>
    <w:p w:rsidR="00556098" w:rsidRPr="006D0771" w:rsidRDefault="006D0771" w:rsidP="006D0771">
      <w:pPr>
        <w:spacing w:line="600" w:lineRule="exact"/>
        <w:ind w:firstLineChars="200" w:firstLine="643"/>
        <w:outlineLvl w:val="1"/>
        <w:rPr>
          <w:rFonts w:ascii="仿宋" w:eastAsia="仿宋" w:hAnsi="仿宋"/>
          <w:b/>
          <w:color w:val="000000" w:themeColor="text1"/>
          <w:sz w:val="32"/>
          <w:szCs w:val="32"/>
        </w:rPr>
      </w:pPr>
      <w:bookmarkStart w:id="24" w:name="_Toc15377209"/>
      <w:bookmarkStart w:id="25" w:name="_Toc15396607"/>
      <w:r>
        <w:rPr>
          <w:rFonts w:ascii="仿宋" w:eastAsia="仿宋" w:hAnsi="仿宋" w:hint="eastAsia"/>
          <w:b/>
          <w:color w:val="000000" w:themeColor="text1"/>
          <w:sz w:val="32"/>
          <w:szCs w:val="32"/>
        </w:rPr>
        <w:lastRenderedPageBreak/>
        <w:t xml:space="preserve">   </w:t>
      </w:r>
      <w:r w:rsidR="00556098" w:rsidRPr="006D0771">
        <w:rPr>
          <w:rFonts w:ascii="仿宋" w:eastAsia="仿宋" w:hAnsi="仿宋" w:hint="eastAsia"/>
          <w:b/>
          <w:color w:val="000000" w:themeColor="text1"/>
          <w:sz w:val="32"/>
          <w:szCs w:val="32"/>
        </w:rPr>
        <w:t>图4</w:t>
      </w:r>
      <w:r w:rsidRPr="006D0771">
        <w:rPr>
          <w:rFonts w:ascii="仿宋" w:eastAsia="仿宋" w:hAnsi="仿宋" w:hint="eastAsia"/>
          <w:b/>
          <w:color w:val="000000" w:themeColor="text1"/>
          <w:sz w:val="32"/>
          <w:szCs w:val="32"/>
        </w:rPr>
        <w:t>：财政拨款收、支决算总计变动情况</w:t>
      </w:r>
    </w:p>
    <w:p w:rsidR="00BC04FD" w:rsidRPr="006D0771" w:rsidRDefault="006D0771" w:rsidP="006D0771">
      <w:pPr>
        <w:spacing w:line="600" w:lineRule="exact"/>
        <w:ind w:firstLineChars="200" w:firstLine="600"/>
        <w:outlineLvl w:val="1"/>
        <w:rPr>
          <w:rFonts w:ascii="仿宋_GB2312" w:eastAsia="仿宋_GB2312" w:hAnsi="黑体"/>
          <w:color w:val="000000"/>
          <w:sz w:val="30"/>
          <w:szCs w:val="30"/>
        </w:rPr>
      </w:pPr>
      <w:r>
        <w:rPr>
          <w:rFonts w:ascii="仿宋_GB2312" w:eastAsia="仿宋_GB2312" w:hAnsi="黑体"/>
          <w:noProof/>
          <w:color w:val="000000"/>
          <w:sz w:val="30"/>
          <w:szCs w:val="30"/>
        </w:rPr>
        <w:drawing>
          <wp:anchor distT="0" distB="0" distL="114300" distR="114300" simplePos="0" relativeHeight="251681792" behindDoc="0" locked="0" layoutInCell="1" allowOverlap="1">
            <wp:simplePos x="0" y="0"/>
            <wp:positionH relativeFrom="column">
              <wp:posOffset>441960</wp:posOffset>
            </wp:positionH>
            <wp:positionV relativeFrom="paragraph">
              <wp:posOffset>160020</wp:posOffset>
            </wp:positionV>
            <wp:extent cx="4312920" cy="2583180"/>
            <wp:effectExtent l="0" t="0" r="0" b="0"/>
            <wp:wrapTopAndBottom/>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556098" w:rsidRPr="009810F0" w:rsidRDefault="00556098" w:rsidP="000A4C2A">
      <w:pPr>
        <w:spacing w:line="600" w:lineRule="exact"/>
        <w:ind w:firstLineChars="200" w:firstLine="640"/>
        <w:outlineLvl w:val="1"/>
        <w:rPr>
          <w:rStyle w:val="2Char"/>
          <w:rFonts w:ascii="黑体" w:eastAsia="黑体" w:hAnsi="黑体"/>
          <w:b w:val="0"/>
        </w:rPr>
      </w:pPr>
      <w:r w:rsidRPr="009810F0">
        <w:rPr>
          <w:rFonts w:ascii="黑体" w:eastAsia="黑体" w:hAnsi="黑体" w:hint="eastAsia"/>
          <w:color w:val="000000"/>
          <w:sz w:val="32"/>
          <w:szCs w:val="32"/>
        </w:rPr>
        <w:t>五、</w:t>
      </w:r>
      <w:r w:rsidRPr="009810F0">
        <w:rPr>
          <w:rFonts w:ascii="黑体" w:eastAsia="黑体" w:hAnsi="黑体" w:hint="eastAsia"/>
          <w:b/>
          <w:color w:val="000000"/>
          <w:sz w:val="32"/>
          <w:szCs w:val="32"/>
        </w:rPr>
        <w:t>一</w:t>
      </w:r>
      <w:r w:rsidRPr="009810F0">
        <w:rPr>
          <w:rStyle w:val="2Char"/>
          <w:rFonts w:ascii="黑体" w:eastAsia="黑体" w:hAnsi="黑体" w:hint="eastAsia"/>
          <w:b w:val="0"/>
        </w:rPr>
        <w:t>般公共预算财政拨款支出决算情况说明</w:t>
      </w:r>
      <w:bookmarkEnd w:id="24"/>
      <w:bookmarkEnd w:id="25"/>
    </w:p>
    <w:p w:rsidR="00556098" w:rsidRDefault="009810F0" w:rsidP="000A4C2A">
      <w:pPr>
        <w:spacing w:line="600" w:lineRule="exact"/>
        <w:ind w:firstLineChars="200" w:firstLine="643"/>
        <w:outlineLvl w:val="2"/>
        <w:rPr>
          <w:rFonts w:ascii="仿宋" w:eastAsia="仿宋" w:hAnsi="仿宋"/>
          <w:b/>
          <w:sz w:val="32"/>
          <w:szCs w:val="32"/>
        </w:rPr>
      </w:pPr>
      <w:bookmarkStart w:id="26" w:name="_Toc15377210"/>
      <w:r>
        <w:rPr>
          <w:rFonts w:ascii="仿宋" w:eastAsia="仿宋" w:hAnsi="仿宋" w:hint="eastAsia"/>
          <w:b/>
          <w:sz w:val="32"/>
          <w:szCs w:val="32"/>
        </w:rPr>
        <w:t>（一）一般公共预算财政拨款支出决算总体情况</w:t>
      </w:r>
      <w:bookmarkEnd w:id="26"/>
    </w:p>
    <w:p w:rsidR="0043269A" w:rsidRPr="0043269A" w:rsidRDefault="0043269A" w:rsidP="000A4C2A">
      <w:pPr>
        <w:spacing w:line="600" w:lineRule="exact"/>
        <w:ind w:firstLineChars="200" w:firstLine="640"/>
        <w:outlineLvl w:val="2"/>
        <w:rPr>
          <w:rFonts w:ascii="仿宋" w:eastAsia="仿宋" w:hAnsi="仿宋"/>
          <w:b/>
          <w:sz w:val="32"/>
          <w:szCs w:val="32"/>
        </w:rPr>
      </w:pPr>
      <w:r w:rsidRPr="009810F0">
        <w:rPr>
          <w:rFonts w:ascii="仿宋" w:eastAsia="仿宋" w:hAnsi="仿宋" w:hint="eastAsia"/>
          <w:sz w:val="32"/>
          <w:szCs w:val="32"/>
        </w:rPr>
        <w:t>202</w:t>
      </w:r>
      <w:r w:rsidR="00322513">
        <w:rPr>
          <w:rFonts w:ascii="仿宋" w:eastAsia="仿宋" w:hAnsi="仿宋" w:hint="eastAsia"/>
          <w:sz w:val="32"/>
          <w:szCs w:val="32"/>
        </w:rPr>
        <w:t>2</w:t>
      </w:r>
      <w:r w:rsidRPr="009810F0">
        <w:rPr>
          <w:rFonts w:ascii="仿宋" w:eastAsia="仿宋" w:hAnsi="仿宋" w:hint="eastAsia"/>
          <w:sz w:val="32"/>
          <w:szCs w:val="32"/>
        </w:rPr>
        <w:t>年一般公共预算财政拨款支出</w:t>
      </w:r>
      <w:r w:rsidR="00322513">
        <w:rPr>
          <w:rFonts w:ascii="仿宋" w:eastAsia="仿宋" w:hAnsi="仿宋" w:hint="eastAsia"/>
          <w:sz w:val="32"/>
          <w:szCs w:val="32"/>
        </w:rPr>
        <w:t>4870.78</w:t>
      </w:r>
      <w:r w:rsidRPr="009810F0">
        <w:rPr>
          <w:rFonts w:ascii="仿宋" w:eastAsia="仿宋" w:hAnsi="仿宋" w:hint="eastAsia"/>
          <w:sz w:val="32"/>
          <w:szCs w:val="32"/>
        </w:rPr>
        <w:t>万元，占本年支出合计的</w:t>
      </w:r>
      <w:r w:rsidR="00284043">
        <w:rPr>
          <w:rFonts w:ascii="仿宋" w:eastAsia="仿宋" w:hAnsi="仿宋" w:hint="eastAsia"/>
          <w:sz w:val="32"/>
          <w:szCs w:val="32"/>
        </w:rPr>
        <w:t>70.99</w:t>
      </w:r>
      <w:r w:rsidRPr="009810F0">
        <w:rPr>
          <w:rFonts w:ascii="仿宋" w:eastAsia="仿宋" w:hAnsi="仿宋" w:hint="eastAsia"/>
          <w:sz w:val="32"/>
          <w:szCs w:val="32"/>
        </w:rPr>
        <w:t>%。与</w:t>
      </w:r>
      <w:r w:rsidR="001C7BAB">
        <w:rPr>
          <w:rFonts w:ascii="仿宋" w:eastAsia="仿宋" w:hAnsi="仿宋" w:hint="eastAsia"/>
          <w:sz w:val="32"/>
          <w:szCs w:val="32"/>
        </w:rPr>
        <w:t>2021</w:t>
      </w:r>
      <w:r w:rsidRPr="009810F0">
        <w:rPr>
          <w:rFonts w:ascii="仿宋" w:eastAsia="仿宋" w:hAnsi="仿宋" w:hint="eastAsia"/>
          <w:sz w:val="32"/>
          <w:szCs w:val="32"/>
        </w:rPr>
        <w:t>年相比，一般公共预算财政拨款</w:t>
      </w:r>
      <w:r w:rsidR="001C7BAB">
        <w:rPr>
          <w:rFonts w:ascii="仿宋" w:eastAsia="仿宋" w:hAnsi="仿宋" w:hint="eastAsia"/>
          <w:sz w:val="32"/>
          <w:szCs w:val="32"/>
        </w:rPr>
        <w:t>减少</w:t>
      </w:r>
      <w:r w:rsidR="00284043">
        <w:rPr>
          <w:rFonts w:ascii="仿宋" w:eastAsia="仿宋" w:hAnsi="仿宋" w:hint="eastAsia"/>
          <w:sz w:val="32"/>
          <w:szCs w:val="32"/>
        </w:rPr>
        <w:t>297.34</w:t>
      </w:r>
      <w:r w:rsidRPr="009810F0">
        <w:rPr>
          <w:rFonts w:ascii="仿宋" w:eastAsia="仿宋" w:hAnsi="仿宋" w:hint="eastAsia"/>
          <w:sz w:val="32"/>
          <w:szCs w:val="32"/>
        </w:rPr>
        <w:t>万元，</w:t>
      </w:r>
      <w:r w:rsidR="001C7BAB">
        <w:rPr>
          <w:rFonts w:ascii="仿宋" w:eastAsia="仿宋" w:hAnsi="仿宋" w:hint="eastAsia"/>
          <w:sz w:val="32"/>
          <w:szCs w:val="32"/>
        </w:rPr>
        <w:t>减幅</w:t>
      </w:r>
      <w:r w:rsidR="00284043">
        <w:rPr>
          <w:rFonts w:ascii="仿宋" w:eastAsia="仿宋" w:hAnsi="仿宋" w:hint="eastAsia"/>
          <w:sz w:val="32"/>
          <w:szCs w:val="32"/>
        </w:rPr>
        <w:t>5.75</w:t>
      </w:r>
      <w:r w:rsidRPr="009810F0">
        <w:rPr>
          <w:rFonts w:ascii="仿宋" w:eastAsia="仿宋" w:hAnsi="仿宋" w:hint="eastAsia"/>
          <w:sz w:val="32"/>
          <w:szCs w:val="32"/>
        </w:rPr>
        <w:t>%。</w:t>
      </w:r>
      <w:r w:rsidR="009F1AD3" w:rsidRPr="009F1AD3">
        <w:rPr>
          <w:rFonts w:ascii="仿宋" w:eastAsia="仿宋" w:hAnsi="仿宋" w:hint="eastAsia"/>
          <w:sz w:val="32"/>
          <w:szCs w:val="32"/>
        </w:rPr>
        <w:t>主要变动原因是</w:t>
      </w:r>
      <w:r w:rsidR="009F1AD3" w:rsidRPr="009F1AD3">
        <w:rPr>
          <w:rFonts w:ascii="仿宋" w:eastAsia="仿宋" w:hAnsi="仿宋"/>
          <w:sz w:val="32"/>
          <w:szCs w:val="32"/>
        </w:rPr>
        <w:t>主管部门集中收入</w:t>
      </w:r>
      <w:r w:rsidR="009F1AD3" w:rsidRPr="009F1AD3">
        <w:rPr>
          <w:rFonts w:ascii="仿宋" w:eastAsia="仿宋" w:hAnsi="仿宋" w:hint="eastAsia"/>
          <w:sz w:val="32"/>
          <w:szCs w:val="32"/>
        </w:rPr>
        <w:t>的减少，以及人员经费财政拨款减少</w:t>
      </w:r>
      <w:r w:rsidR="009F1AD3" w:rsidRPr="009F1AD3">
        <w:rPr>
          <w:rFonts w:ascii="仿宋" w:eastAsia="仿宋" w:hAnsi="仿宋"/>
          <w:sz w:val="32"/>
          <w:szCs w:val="32"/>
        </w:rPr>
        <w:t>。</w:t>
      </w:r>
    </w:p>
    <w:p w:rsidR="00556098" w:rsidRDefault="0043269A" w:rsidP="0043269A">
      <w:pPr>
        <w:spacing w:line="600" w:lineRule="exact"/>
        <w:ind w:firstLineChars="200" w:firstLine="643"/>
        <w:rPr>
          <w:rFonts w:ascii="仿宋" w:eastAsia="仿宋" w:hAnsi="仿宋"/>
          <w:b/>
          <w:color w:val="000000" w:themeColor="text1"/>
          <w:sz w:val="32"/>
          <w:szCs w:val="32"/>
        </w:rPr>
      </w:pPr>
      <w:r>
        <w:rPr>
          <w:rFonts w:ascii="仿宋" w:eastAsia="仿宋" w:hAnsi="仿宋" w:hint="eastAsia"/>
          <w:b/>
          <w:noProof/>
          <w:color w:val="000000" w:themeColor="text1"/>
          <w:sz w:val="32"/>
          <w:szCs w:val="32"/>
        </w:rPr>
        <w:drawing>
          <wp:anchor distT="0" distB="0" distL="114300" distR="114300" simplePos="0" relativeHeight="251683840" behindDoc="0" locked="0" layoutInCell="1" allowOverlap="1">
            <wp:simplePos x="0" y="0"/>
            <wp:positionH relativeFrom="column">
              <wp:posOffset>533400</wp:posOffset>
            </wp:positionH>
            <wp:positionV relativeFrom="paragraph">
              <wp:posOffset>647700</wp:posOffset>
            </wp:positionV>
            <wp:extent cx="4312920" cy="2583180"/>
            <wp:effectExtent l="0" t="0" r="0" b="0"/>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556098" w:rsidRPr="0043269A">
        <w:rPr>
          <w:rFonts w:ascii="仿宋" w:eastAsia="仿宋" w:hAnsi="仿宋" w:hint="eastAsia"/>
          <w:b/>
          <w:color w:val="000000" w:themeColor="text1"/>
          <w:sz w:val="32"/>
          <w:szCs w:val="32"/>
        </w:rPr>
        <w:t>图5</w:t>
      </w:r>
      <w:r>
        <w:rPr>
          <w:rFonts w:ascii="仿宋" w:eastAsia="仿宋" w:hAnsi="仿宋" w:hint="eastAsia"/>
          <w:b/>
          <w:color w:val="000000" w:themeColor="text1"/>
          <w:sz w:val="32"/>
          <w:szCs w:val="32"/>
        </w:rPr>
        <w:t>：一般公共预算财政拨款支出决算变动情况</w:t>
      </w:r>
    </w:p>
    <w:p w:rsidR="00362909" w:rsidRDefault="00362909" w:rsidP="00362909">
      <w:pPr>
        <w:spacing w:line="600" w:lineRule="exact"/>
        <w:rPr>
          <w:rFonts w:ascii="仿宋" w:eastAsia="仿宋" w:hAnsi="仿宋"/>
          <w:b/>
          <w:color w:val="000000" w:themeColor="text1"/>
          <w:sz w:val="32"/>
          <w:szCs w:val="32"/>
        </w:rPr>
      </w:pPr>
      <w:bookmarkStart w:id="27" w:name="_Toc15377211"/>
      <w:r>
        <w:rPr>
          <w:rFonts w:ascii="仿宋" w:eastAsia="仿宋" w:hAnsi="仿宋" w:hint="eastAsia"/>
          <w:b/>
          <w:color w:val="000000" w:themeColor="text1"/>
          <w:sz w:val="32"/>
          <w:szCs w:val="32"/>
        </w:rPr>
        <w:lastRenderedPageBreak/>
        <w:t xml:space="preserve"> </w:t>
      </w:r>
    </w:p>
    <w:p w:rsidR="00556098" w:rsidRPr="00362909" w:rsidRDefault="00362909" w:rsidP="00362909">
      <w:pPr>
        <w:spacing w:line="600" w:lineRule="exact"/>
        <w:rPr>
          <w:rFonts w:ascii="仿宋" w:eastAsia="仿宋" w:hAnsi="仿宋"/>
          <w:b/>
          <w:color w:val="000000"/>
          <w:sz w:val="32"/>
          <w:szCs w:val="32"/>
        </w:rPr>
      </w:pPr>
      <w:r>
        <w:rPr>
          <w:rFonts w:ascii="仿宋" w:eastAsia="仿宋" w:hAnsi="仿宋" w:hint="eastAsia"/>
          <w:b/>
          <w:color w:val="000000" w:themeColor="text1"/>
          <w:sz w:val="32"/>
          <w:szCs w:val="32"/>
        </w:rPr>
        <w:t xml:space="preserve">   </w:t>
      </w:r>
      <w:r w:rsidRPr="00362909">
        <w:rPr>
          <w:rFonts w:ascii="仿宋" w:eastAsia="仿宋" w:hAnsi="仿宋" w:hint="eastAsia"/>
          <w:b/>
          <w:color w:val="000000"/>
          <w:sz w:val="32"/>
          <w:szCs w:val="32"/>
        </w:rPr>
        <w:t>（二）一般公共预算财政拨款支出决算结构情况</w:t>
      </w:r>
      <w:bookmarkEnd w:id="27"/>
    </w:p>
    <w:p w:rsidR="00556098" w:rsidRPr="00B87C97" w:rsidRDefault="00556098" w:rsidP="00B87C97">
      <w:pPr>
        <w:spacing w:line="600" w:lineRule="exact"/>
        <w:ind w:firstLineChars="200" w:firstLine="640"/>
        <w:outlineLvl w:val="2"/>
        <w:rPr>
          <w:rFonts w:ascii="仿宋" w:eastAsia="仿宋" w:hAnsi="仿宋"/>
          <w:color w:val="000000" w:themeColor="text1"/>
          <w:sz w:val="32"/>
          <w:szCs w:val="32"/>
        </w:rPr>
      </w:pPr>
      <w:r w:rsidRPr="00B87C97">
        <w:rPr>
          <w:rFonts w:ascii="仿宋" w:eastAsia="仿宋" w:hAnsi="仿宋" w:hint="eastAsia"/>
          <w:color w:val="000000"/>
          <w:sz w:val="32"/>
          <w:szCs w:val="32"/>
        </w:rPr>
        <w:t>202</w:t>
      </w:r>
      <w:r w:rsidR="00284043">
        <w:rPr>
          <w:rFonts w:ascii="仿宋" w:eastAsia="仿宋" w:hAnsi="仿宋" w:hint="eastAsia"/>
          <w:color w:val="000000"/>
          <w:sz w:val="32"/>
          <w:szCs w:val="32"/>
        </w:rPr>
        <w:t>2</w:t>
      </w:r>
      <w:r w:rsidRPr="00B87C97">
        <w:rPr>
          <w:rFonts w:ascii="仿宋" w:eastAsia="仿宋" w:hAnsi="仿宋" w:hint="eastAsia"/>
          <w:color w:val="000000"/>
          <w:sz w:val="32"/>
          <w:szCs w:val="32"/>
        </w:rPr>
        <w:t>年一般公共预算财</w:t>
      </w:r>
      <w:r w:rsidRPr="00B87C97">
        <w:rPr>
          <w:rFonts w:ascii="仿宋" w:eastAsia="仿宋" w:hAnsi="仿宋" w:hint="eastAsia"/>
          <w:color w:val="000000" w:themeColor="text1"/>
          <w:sz w:val="32"/>
          <w:szCs w:val="32"/>
        </w:rPr>
        <w:t>政拨款支出</w:t>
      </w:r>
      <w:r w:rsidR="00D75D37">
        <w:rPr>
          <w:rFonts w:ascii="仿宋" w:eastAsia="仿宋" w:hAnsi="仿宋" w:hint="eastAsia"/>
          <w:sz w:val="32"/>
          <w:szCs w:val="32"/>
        </w:rPr>
        <w:t>4870.78</w:t>
      </w:r>
      <w:r w:rsidRPr="00B87C97">
        <w:rPr>
          <w:rFonts w:ascii="仿宋" w:eastAsia="仿宋" w:hAnsi="仿宋" w:hint="eastAsia"/>
          <w:color w:val="000000" w:themeColor="text1"/>
          <w:sz w:val="32"/>
          <w:szCs w:val="32"/>
        </w:rPr>
        <w:t>万元，主要用于以下方面:社会保障和就业支出</w:t>
      </w:r>
      <w:r w:rsidR="00D75D37">
        <w:rPr>
          <w:rFonts w:ascii="仿宋" w:eastAsia="仿宋" w:hAnsi="仿宋" w:hint="eastAsia"/>
          <w:color w:val="000000" w:themeColor="text1"/>
          <w:sz w:val="32"/>
          <w:szCs w:val="32"/>
        </w:rPr>
        <w:t>1518.27</w:t>
      </w:r>
      <w:r w:rsidRPr="00B87C97">
        <w:rPr>
          <w:rFonts w:ascii="仿宋" w:eastAsia="仿宋" w:hAnsi="仿宋" w:hint="eastAsia"/>
          <w:color w:val="000000" w:themeColor="text1"/>
          <w:sz w:val="32"/>
          <w:szCs w:val="32"/>
        </w:rPr>
        <w:t>万元，占</w:t>
      </w:r>
      <w:r w:rsidR="00D75D37">
        <w:rPr>
          <w:rFonts w:ascii="仿宋" w:eastAsia="仿宋" w:hAnsi="仿宋" w:hint="eastAsia"/>
          <w:color w:val="000000" w:themeColor="text1"/>
          <w:sz w:val="32"/>
          <w:szCs w:val="32"/>
        </w:rPr>
        <w:t>31.17</w:t>
      </w:r>
      <w:r w:rsidRPr="00B87C97">
        <w:rPr>
          <w:rFonts w:ascii="仿宋" w:eastAsia="仿宋" w:hAnsi="仿宋" w:hint="eastAsia"/>
          <w:color w:val="000000" w:themeColor="text1"/>
          <w:sz w:val="32"/>
          <w:szCs w:val="32"/>
        </w:rPr>
        <w:t>%；</w:t>
      </w:r>
      <w:r w:rsidRPr="00B87C97">
        <w:rPr>
          <w:rFonts w:ascii="仿宋" w:eastAsia="仿宋" w:hAnsi="仿宋" w:hint="eastAsia"/>
          <w:bCs/>
          <w:color w:val="000000" w:themeColor="text1"/>
          <w:sz w:val="32"/>
          <w:szCs w:val="32"/>
        </w:rPr>
        <w:t>卫生健康支出</w:t>
      </w:r>
      <w:r w:rsidR="00D75D37">
        <w:rPr>
          <w:rFonts w:ascii="仿宋" w:eastAsia="仿宋" w:hAnsi="仿宋" w:hint="eastAsia"/>
          <w:color w:val="000000" w:themeColor="text1"/>
          <w:sz w:val="32"/>
          <w:szCs w:val="32"/>
        </w:rPr>
        <w:t>135</w:t>
      </w:r>
      <w:r w:rsidR="00E850DD">
        <w:rPr>
          <w:rFonts w:ascii="仿宋" w:eastAsia="仿宋" w:hAnsi="仿宋" w:hint="eastAsia"/>
          <w:color w:val="000000" w:themeColor="text1"/>
          <w:sz w:val="32"/>
          <w:szCs w:val="32"/>
        </w:rPr>
        <w:t>.00</w:t>
      </w:r>
      <w:r w:rsidRPr="00B87C97">
        <w:rPr>
          <w:rFonts w:ascii="仿宋" w:eastAsia="仿宋" w:hAnsi="仿宋" w:hint="eastAsia"/>
          <w:color w:val="000000" w:themeColor="text1"/>
          <w:sz w:val="32"/>
          <w:szCs w:val="32"/>
        </w:rPr>
        <w:t>万元，占</w:t>
      </w:r>
      <w:r w:rsidR="00D75D37">
        <w:rPr>
          <w:rFonts w:ascii="仿宋" w:eastAsia="仿宋" w:hAnsi="仿宋" w:hint="eastAsia"/>
          <w:color w:val="000000" w:themeColor="text1"/>
          <w:sz w:val="32"/>
          <w:szCs w:val="32"/>
        </w:rPr>
        <w:t>2.77</w:t>
      </w:r>
      <w:r w:rsidRPr="00B87C97">
        <w:rPr>
          <w:rFonts w:ascii="仿宋" w:eastAsia="仿宋" w:hAnsi="仿宋" w:hint="eastAsia"/>
          <w:color w:val="000000" w:themeColor="text1"/>
          <w:sz w:val="32"/>
          <w:szCs w:val="32"/>
        </w:rPr>
        <w:t>%；住房保障支出</w:t>
      </w:r>
      <w:r w:rsidR="00D75D37">
        <w:rPr>
          <w:rFonts w:ascii="仿宋" w:eastAsia="仿宋" w:hAnsi="仿宋" w:hint="eastAsia"/>
          <w:color w:val="000000" w:themeColor="text1"/>
          <w:sz w:val="32"/>
          <w:szCs w:val="32"/>
        </w:rPr>
        <w:t>225</w:t>
      </w:r>
      <w:r w:rsidR="006E1039">
        <w:rPr>
          <w:rFonts w:ascii="仿宋" w:eastAsia="仿宋" w:hAnsi="仿宋" w:hint="eastAsia"/>
          <w:color w:val="000000" w:themeColor="text1"/>
          <w:sz w:val="32"/>
          <w:szCs w:val="32"/>
        </w:rPr>
        <w:t>.00</w:t>
      </w:r>
      <w:r w:rsidRPr="00B87C97">
        <w:rPr>
          <w:rFonts w:ascii="仿宋" w:eastAsia="仿宋" w:hAnsi="仿宋" w:hint="eastAsia"/>
          <w:color w:val="000000" w:themeColor="text1"/>
          <w:sz w:val="32"/>
          <w:szCs w:val="32"/>
        </w:rPr>
        <w:t>万元，占</w:t>
      </w:r>
      <w:r w:rsidR="00D75D37">
        <w:rPr>
          <w:rFonts w:ascii="仿宋" w:eastAsia="仿宋" w:hAnsi="仿宋" w:hint="eastAsia"/>
          <w:color w:val="000000" w:themeColor="text1"/>
          <w:sz w:val="32"/>
          <w:szCs w:val="32"/>
        </w:rPr>
        <w:t>4.62</w:t>
      </w:r>
      <w:r w:rsidRPr="00B87C97">
        <w:rPr>
          <w:rFonts w:ascii="仿宋" w:eastAsia="仿宋" w:hAnsi="仿宋" w:hint="eastAsia"/>
          <w:color w:val="000000" w:themeColor="text1"/>
          <w:sz w:val="32"/>
          <w:szCs w:val="32"/>
        </w:rPr>
        <w:t>%；</w:t>
      </w:r>
      <w:r w:rsidRPr="00B87C97">
        <w:rPr>
          <w:rFonts w:ascii="仿宋" w:eastAsia="仿宋" w:hAnsi="仿宋" w:hint="eastAsia"/>
          <w:bCs/>
          <w:color w:val="000000" w:themeColor="text1"/>
          <w:sz w:val="32"/>
          <w:szCs w:val="32"/>
        </w:rPr>
        <w:t>资源勘探工业信息等支出</w:t>
      </w:r>
      <w:r w:rsidR="00D75D37">
        <w:rPr>
          <w:rFonts w:ascii="仿宋" w:eastAsia="仿宋" w:hAnsi="仿宋" w:hint="eastAsia"/>
          <w:bCs/>
          <w:color w:val="000000" w:themeColor="text1"/>
          <w:sz w:val="32"/>
          <w:szCs w:val="32"/>
        </w:rPr>
        <w:t>2992.51</w:t>
      </w:r>
      <w:r w:rsidRPr="00B87C97">
        <w:rPr>
          <w:rFonts w:ascii="仿宋" w:eastAsia="仿宋" w:hAnsi="仿宋" w:hint="eastAsia"/>
          <w:bCs/>
          <w:color w:val="000000" w:themeColor="text1"/>
          <w:sz w:val="32"/>
          <w:szCs w:val="32"/>
        </w:rPr>
        <w:t>万元，占</w:t>
      </w:r>
      <w:r w:rsidR="00D75D37">
        <w:rPr>
          <w:rFonts w:ascii="仿宋" w:eastAsia="仿宋" w:hAnsi="仿宋" w:hint="eastAsia"/>
          <w:bCs/>
          <w:color w:val="000000" w:themeColor="text1"/>
          <w:sz w:val="32"/>
          <w:szCs w:val="32"/>
        </w:rPr>
        <w:t>61.44</w:t>
      </w:r>
      <w:r w:rsidRPr="00B87C97">
        <w:rPr>
          <w:rFonts w:ascii="仿宋" w:eastAsia="仿宋" w:hAnsi="仿宋" w:hint="eastAsia"/>
          <w:bCs/>
          <w:color w:val="000000" w:themeColor="text1"/>
          <w:sz w:val="32"/>
          <w:szCs w:val="32"/>
        </w:rPr>
        <w:t>%</w:t>
      </w:r>
      <w:r w:rsidRPr="00B87C97">
        <w:rPr>
          <w:rFonts w:ascii="仿宋" w:eastAsia="仿宋" w:hAnsi="仿宋" w:hint="eastAsia"/>
          <w:color w:val="000000" w:themeColor="text1"/>
          <w:sz w:val="32"/>
          <w:szCs w:val="32"/>
        </w:rPr>
        <w:t>。</w:t>
      </w:r>
    </w:p>
    <w:p w:rsidR="00556098" w:rsidRPr="005D175A" w:rsidRDefault="00362909" w:rsidP="00362909">
      <w:pPr>
        <w:spacing w:line="600" w:lineRule="exact"/>
        <w:ind w:firstLine="200"/>
        <w:rPr>
          <w:rFonts w:ascii="仿宋" w:eastAsia="仿宋" w:hAnsi="仿宋"/>
          <w:b/>
          <w:sz w:val="32"/>
          <w:szCs w:val="32"/>
        </w:rPr>
      </w:pPr>
      <w:r w:rsidRPr="00362909">
        <w:rPr>
          <w:rFonts w:ascii="仿宋" w:eastAsia="仿宋" w:hAnsi="仿宋" w:hint="eastAsia"/>
          <w:b/>
          <w:noProof/>
          <w:color w:val="000000"/>
          <w:sz w:val="32"/>
          <w:szCs w:val="32"/>
        </w:rPr>
        <w:drawing>
          <wp:anchor distT="0" distB="0" distL="114300" distR="114300" simplePos="0" relativeHeight="251664384" behindDoc="0" locked="0" layoutInCell="1" allowOverlap="1">
            <wp:simplePos x="0" y="0"/>
            <wp:positionH relativeFrom="column">
              <wp:posOffset>198120</wp:posOffset>
            </wp:positionH>
            <wp:positionV relativeFrom="paragraph">
              <wp:posOffset>393065</wp:posOffset>
            </wp:positionV>
            <wp:extent cx="4846320" cy="2148840"/>
            <wp:effectExtent l="0" t="0" r="0" b="0"/>
            <wp:wrapTopAndBottom/>
            <wp:docPr id="9"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DB3099" w:rsidRPr="00362909">
        <w:rPr>
          <w:rFonts w:ascii="仿宋" w:eastAsia="仿宋" w:hAnsi="仿宋" w:hint="eastAsia"/>
          <w:b/>
          <w:color w:val="000000"/>
          <w:sz w:val="32"/>
          <w:szCs w:val="32"/>
        </w:rPr>
        <w:t xml:space="preserve">   </w:t>
      </w:r>
      <w:r w:rsidRPr="005D175A">
        <w:rPr>
          <w:rFonts w:ascii="仿宋" w:eastAsia="仿宋" w:hAnsi="仿宋" w:hint="eastAsia"/>
          <w:b/>
          <w:sz w:val="32"/>
          <w:szCs w:val="32"/>
        </w:rPr>
        <w:t xml:space="preserve"> </w:t>
      </w:r>
      <w:r w:rsidR="00556098" w:rsidRPr="005D175A">
        <w:rPr>
          <w:rFonts w:ascii="仿宋" w:eastAsia="仿宋" w:hAnsi="仿宋" w:hint="eastAsia"/>
          <w:b/>
          <w:sz w:val="32"/>
          <w:szCs w:val="32"/>
        </w:rPr>
        <w:t>图6</w:t>
      </w:r>
      <w:r w:rsidRPr="005D175A">
        <w:rPr>
          <w:rFonts w:ascii="仿宋" w:eastAsia="仿宋" w:hAnsi="仿宋" w:hint="eastAsia"/>
          <w:b/>
          <w:sz w:val="32"/>
          <w:szCs w:val="32"/>
        </w:rPr>
        <w:t>：一般公共预算财政拨款支出决算结构</w:t>
      </w:r>
    </w:p>
    <w:p w:rsidR="00232D68" w:rsidRDefault="008C7E25" w:rsidP="008C7E25">
      <w:pPr>
        <w:spacing w:line="600" w:lineRule="exact"/>
        <w:outlineLvl w:val="2"/>
        <w:rPr>
          <w:rFonts w:ascii="仿宋" w:eastAsia="仿宋" w:hAnsi="仿宋"/>
          <w:b/>
          <w:color w:val="000000"/>
          <w:sz w:val="32"/>
          <w:szCs w:val="32"/>
        </w:rPr>
      </w:pPr>
      <w:bookmarkStart w:id="28" w:name="_Toc15377212"/>
      <w:r>
        <w:rPr>
          <w:rFonts w:ascii="仿宋" w:eastAsia="仿宋" w:hAnsi="仿宋" w:hint="eastAsia"/>
          <w:b/>
          <w:color w:val="000000"/>
          <w:sz w:val="32"/>
          <w:szCs w:val="32"/>
        </w:rPr>
        <w:t xml:space="preserve">  </w:t>
      </w:r>
    </w:p>
    <w:p w:rsidR="00556098" w:rsidRPr="00362909" w:rsidRDefault="00232D68" w:rsidP="008C7E25">
      <w:pPr>
        <w:spacing w:line="600" w:lineRule="exact"/>
        <w:outlineLvl w:val="2"/>
        <w:rPr>
          <w:rFonts w:ascii="仿宋" w:eastAsia="仿宋" w:hAnsi="仿宋"/>
          <w:b/>
          <w:color w:val="000000"/>
          <w:sz w:val="32"/>
          <w:szCs w:val="32"/>
        </w:rPr>
      </w:pPr>
      <w:r>
        <w:rPr>
          <w:rFonts w:ascii="仿宋" w:eastAsia="仿宋" w:hAnsi="仿宋" w:hint="eastAsia"/>
          <w:b/>
          <w:color w:val="000000"/>
          <w:sz w:val="32"/>
          <w:szCs w:val="32"/>
        </w:rPr>
        <w:t xml:space="preserve">  </w:t>
      </w:r>
      <w:r w:rsidR="008C7E25">
        <w:rPr>
          <w:rFonts w:ascii="仿宋" w:eastAsia="仿宋" w:hAnsi="仿宋" w:hint="eastAsia"/>
          <w:b/>
          <w:color w:val="000000"/>
          <w:sz w:val="32"/>
          <w:szCs w:val="32"/>
        </w:rPr>
        <w:t xml:space="preserve"> </w:t>
      </w:r>
      <w:r w:rsidR="00556098" w:rsidRPr="00362909">
        <w:rPr>
          <w:rFonts w:ascii="仿宋" w:eastAsia="仿宋" w:hAnsi="仿宋" w:hint="eastAsia"/>
          <w:b/>
          <w:color w:val="000000"/>
          <w:sz w:val="32"/>
          <w:szCs w:val="32"/>
        </w:rPr>
        <w:t>（三）一般公共预算财政拨款支出决算具体情况</w:t>
      </w:r>
      <w:bookmarkEnd w:id="28"/>
    </w:p>
    <w:p w:rsidR="00556098" w:rsidRPr="008A7EB2" w:rsidRDefault="00556098" w:rsidP="008A7EB2">
      <w:pPr>
        <w:spacing w:line="600" w:lineRule="exact"/>
        <w:ind w:firstLineChars="200" w:firstLine="643"/>
        <w:rPr>
          <w:rFonts w:ascii="仿宋" w:eastAsia="仿宋" w:hAnsi="仿宋"/>
          <w:color w:val="FF0000"/>
          <w:sz w:val="32"/>
          <w:szCs w:val="32"/>
        </w:rPr>
      </w:pPr>
      <w:bookmarkStart w:id="29" w:name="_Toc15377213"/>
      <w:bookmarkStart w:id="30" w:name="_Toc15378460"/>
      <w:bookmarkStart w:id="31" w:name="_Toc15377444"/>
      <w:r w:rsidRPr="008A7EB2">
        <w:rPr>
          <w:rFonts w:ascii="仿宋" w:eastAsia="仿宋" w:hAnsi="仿宋" w:hint="eastAsia"/>
          <w:b/>
          <w:color w:val="000000" w:themeColor="text1"/>
          <w:sz w:val="32"/>
          <w:szCs w:val="32"/>
        </w:rPr>
        <w:t>202</w:t>
      </w:r>
      <w:r w:rsidR="00D75D37">
        <w:rPr>
          <w:rFonts w:ascii="仿宋" w:eastAsia="仿宋" w:hAnsi="仿宋" w:hint="eastAsia"/>
          <w:b/>
          <w:color w:val="000000" w:themeColor="text1"/>
          <w:sz w:val="32"/>
          <w:szCs w:val="32"/>
        </w:rPr>
        <w:t>2</w:t>
      </w:r>
      <w:r w:rsidRPr="008A7EB2">
        <w:rPr>
          <w:rFonts w:ascii="仿宋" w:eastAsia="仿宋" w:hAnsi="仿宋" w:hint="eastAsia"/>
          <w:b/>
          <w:color w:val="000000" w:themeColor="text1"/>
          <w:sz w:val="32"/>
          <w:szCs w:val="32"/>
        </w:rPr>
        <w:t>年</w:t>
      </w:r>
      <w:r w:rsidR="00EC4EF6" w:rsidRPr="008A7EB2">
        <w:rPr>
          <w:rFonts w:ascii="仿宋" w:eastAsia="仿宋" w:hAnsi="仿宋" w:hint="eastAsia"/>
          <w:b/>
          <w:color w:val="000000" w:themeColor="text1"/>
          <w:sz w:val="32"/>
          <w:szCs w:val="32"/>
        </w:rPr>
        <w:t>一</w:t>
      </w:r>
      <w:r w:rsidRPr="008A7EB2">
        <w:rPr>
          <w:rFonts w:ascii="仿宋" w:eastAsia="仿宋" w:hAnsi="仿宋" w:hint="eastAsia"/>
          <w:b/>
          <w:color w:val="000000" w:themeColor="text1"/>
          <w:sz w:val="32"/>
          <w:szCs w:val="32"/>
        </w:rPr>
        <w:t>般公共预算支出决算数为</w:t>
      </w:r>
      <w:r w:rsidR="00D75D37">
        <w:rPr>
          <w:rFonts w:ascii="仿宋" w:eastAsia="仿宋" w:hAnsi="仿宋" w:hint="eastAsia"/>
          <w:b/>
          <w:color w:val="000000" w:themeColor="text1"/>
          <w:sz w:val="32"/>
          <w:szCs w:val="32"/>
        </w:rPr>
        <w:t>4870.78</w:t>
      </w:r>
      <w:r w:rsidRPr="008A7EB2">
        <w:rPr>
          <w:rFonts w:ascii="仿宋" w:eastAsia="仿宋" w:hAnsi="仿宋" w:hint="eastAsia"/>
          <w:b/>
          <w:color w:val="000000" w:themeColor="text1"/>
          <w:sz w:val="32"/>
          <w:szCs w:val="32"/>
        </w:rPr>
        <w:t>，</w:t>
      </w:r>
      <w:r w:rsidRPr="008A7EB2">
        <w:rPr>
          <w:rStyle w:val="a7"/>
          <w:rFonts w:ascii="仿宋" w:eastAsia="仿宋" w:hAnsi="仿宋" w:hint="eastAsia"/>
          <w:bCs/>
          <w:color w:val="000000" w:themeColor="text1"/>
          <w:sz w:val="32"/>
          <w:szCs w:val="32"/>
        </w:rPr>
        <w:t>完成</w:t>
      </w:r>
      <w:r w:rsidRPr="008A7EB2">
        <w:rPr>
          <w:rStyle w:val="a7"/>
          <w:rFonts w:ascii="仿宋" w:eastAsia="仿宋" w:hAnsi="仿宋" w:hint="eastAsia"/>
          <w:bCs/>
          <w:color w:val="000000"/>
          <w:sz w:val="32"/>
          <w:szCs w:val="32"/>
        </w:rPr>
        <w:t>预算100%。其中：</w:t>
      </w:r>
      <w:bookmarkEnd w:id="29"/>
      <w:bookmarkEnd w:id="30"/>
      <w:bookmarkEnd w:id="31"/>
    </w:p>
    <w:p w:rsidR="00556098" w:rsidRPr="00362909" w:rsidRDefault="00EC0875" w:rsidP="008A7EB2">
      <w:pPr>
        <w:spacing w:line="600" w:lineRule="exact"/>
        <w:ind w:firstLineChars="200" w:firstLine="643"/>
        <w:rPr>
          <w:rStyle w:val="a7"/>
          <w:rFonts w:ascii="仿宋" w:eastAsia="仿宋" w:hAnsi="仿宋"/>
          <w:b w:val="0"/>
          <w:bCs/>
          <w:color w:val="000000"/>
          <w:sz w:val="32"/>
          <w:szCs w:val="32"/>
        </w:rPr>
      </w:pPr>
      <w:r w:rsidRPr="008A7EB2">
        <w:rPr>
          <w:rStyle w:val="a7"/>
          <w:rFonts w:ascii="仿宋" w:eastAsia="仿宋" w:hAnsi="仿宋" w:hint="eastAsia"/>
          <w:bCs/>
          <w:color w:val="000000"/>
          <w:sz w:val="32"/>
          <w:szCs w:val="32"/>
        </w:rPr>
        <w:t>1</w:t>
      </w:r>
      <w:r w:rsidR="00556098" w:rsidRPr="008A7EB2">
        <w:rPr>
          <w:rStyle w:val="a7"/>
          <w:rFonts w:ascii="仿宋" w:eastAsia="仿宋" w:hAnsi="仿宋" w:hint="eastAsia"/>
          <w:bCs/>
          <w:color w:val="000000"/>
          <w:sz w:val="32"/>
          <w:szCs w:val="32"/>
        </w:rPr>
        <w:t>.社会保障和就业（类）行政事业单位养老支出（款）事业单位离退休（项）</w:t>
      </w:r>
      <w:r w:rsidR="00556098" w:rsidRPr="00362909">
        <w:rPr>
          <w:rStyle w:val="a7"/>
          <w:rFonts w:ascii="仿宋" w:eastAsia="仿宋" w:hAnsi="仿宋" w:hint="eastAsia"/>
          <w:b w:val="0"/>
          <w:bCs/>
          <w:color w:val="000000"/>
          <w:sz w:val="32"/>
          <w:szCs w:val="32"/>
        </w:rPr>
        <w:t>:支出决算为</w:t>
      </w:r>
      <w:r w:rsidR="00B12A02">
        <w:rPr>
          <w:rStyle w:val="a7"/>
          <w:rFonts w:ascii="仿宋" w:eastAsia="仿宋" w:hAnsi="仿宋" w:hint="eastAsia"/>
          <w:b w:val="0"/>
          <w:bCs/>
          <w:color w:val="000000"/>
          <w:sz w:val="32"/>
          <w:szCs w:val="32"/>
        </w:rPr>
        <w:t>684.27</w:t>
      </w:r>
      <w:r w:rsidR="00556098" w:rsidRPr="00362909">
        <w:rPr>
          <w:rStyle w:val="a7"/>
          <w:rFonts w:ascii="仿宋" w:eastAsia="仿宋" w:hAnsi="仿宋" w:hint="eastAsia"/>
          <w:b w:val="0"/>
          <w:bCs/>
          <w:color w:val="000000"/>
          <w:sz w:val="32"/>
          <w:szCs w:val="32"/>
        </w:rPr>
        <w:t>万元，完成预算100%，决算数等于预算数。</w:t>
      </w:r>
    </w:p>
    <w:p w:rsidR="00556098" w:rsidRPr="00362909" w:rsidRDefault="00EC0875" w:rsidP="00362909">
      <w:pPr>
        <w:spacing w:line="600" w:lineRule="exact"/>
        <w:ind w:firstLineChars="200" w:firstLine="640"/>
        <w:rPr>
          <w:rStyle w:val="a7"/>
          <w:rFonts w:ascii="仿宋" w:eastAsia="仿宋" w:hAnsi="仿宋"/>
          <w:b w:val="0"/>
          <w:bCs/>
          <w:color w:val="000000"/>
          <w:sz w:val="32"/>
          <w:szCs w:val="32"/>
        </w:rPr>
      </w:pPr>
      <w:r>
        <w:rPr>
          <w:rStyle w:val="a7"/>
          <w:rFonts w:ascii="仿宋" w:eastAsia="仿宋" w:hAnsi="仿宋" w:hint="eastAsia"/>
          <w:b w:val="0"/>
          <w:bCs/>
          <w:color w:val="000000"/>
          <w:sz w:val="32"/>
          <w:szCs w:val="32"/>
        </w:rPr>
        <w:t>2</w:t>
      </w:r>
      <w:r w:rsidR="00556098" w:rsidRPr="00362909">
        <w:rPr>
          <w:rStyle w:val="a7"/>
          <w:rFonts w:ascii="仿宋" w:eastAsia="仿宋" w:hAnsi="仿宋" w:hint="eastAsia"/>
          <w:b w:val="0"/>
          <w:bCs/>
          <w:color w:val="000000"/>
          <w:sz w:val="32"/>
          <w:szCs w:val="32"/>
        </w:rPr>
        <w:t>.</w:t>
      </w:r>
      <w:r w:rsidR="00556098" w:rsidRPr="008A7EB2">
        <w:rPr>
          <w:rStyle w:val="a7"/>
          <w:rFonts w:ascii="仿宋" w:eastAsia="仿宋" w:hAnsi="仿宋" w:hint="eastAsia"/>
          <w:bCs/>
          <w:color w:val="000000"/>
          <w:sz w:val="32"/>
          <w:szCs w:val="32"/>
        </w:rPr>
        <w:t>社会保障和就业（类）行政事业单位养老支出（款）机关事业单位基本养老保险缴费支出（项）</w:t>
      </w:r>
      <w:r w:rsidR="00556098" w:rsidRPr="00362909">
        <w:rPr>
          <w:rStyle w:val="a7"/>
          <w:rFonts w:ascii="仿宋" w:eastAsia="仿宋" w:hAnsi="仿宋" w:hint="eastAsia"/>
          <w:b w:val="0"/>
          <w:bCs/>
          <w:color w:val="000000"/>
          <w:sz w:val="32"/>
          <w:szCs w:val="32"/>
        </w:rPr>
        <w:t>:支出决算为</w:t>
      </w:r>
      <w:r w:rsidR="00B12A02">
        <w:rPr>
          <w:rStyle w:val="a7"/>
          <w:rFonts w:ascii="仿宋" w:eastAsia="仿宋" w:hAnsi="仿宋" w:hint="eastAsia"/>
          <w:b w:val="0"/>
          <w:bCs/>
          <w:color w:val="000000"/>
          <w:sz w:val="32"/>
          <w:szCs w:val="32"/>
        </w:rPr>
        <w:lastRenderedPageBreak/>
        <w:t>556</w:t>
      </w:r>
      <w:r>
        <w:rPr>
          <w:rStyle w:val="a7"/>
          <w:rFonts w:ascii="仿宋" w:eastAsia="仿宋" w:hAnsi="仿宋" w:hint="eastAsia"/>
          <w:b w:val="0"/>
          <w:bCs/>
          <w:color w:val="000000"/>
          <w:sz w:val="32"/>
          <w:szCs w:val="32"/>
        </w:rPr>
        <w:t>.00</w:t>
      </w:r>
      <w:r w:rsidR="00556098" w:rsidRPr="00362909">
        <w:rPr>
          <w:rStyle w:val="a7"/>
          <w:rFonts w:ascii="仿宋" w:eastAsia="仿宋" w:hAnsi="仿宋" w:hint="eastAsia"/>
          <w:b w:val="0"/>
          <w:bCs/>
          <w:color w:val="000000"/>
          <w:sz w:val="32"/>
          <w:szCs w:val="32"/>
        </w:rPr>
        <w:t>万元，完成预算100%，决算数等于预算数。</w:t>
      </w:r>
    </w:p>
    <w:p w:rsidR="00556098" w:rsidRPr="00362909" w:rsidRDefault="00EC0875" w:rsidP="008A7EB2">
      <w:pPr>
        <w:spacing w:line="600" w:lineRule="exact"/>
        <w:ind w:firstLineChars="200" w:firstLine="643"/>
        <w:rPr>
          <w:rFonts w:ascii="仿宋" w:eastAsia="仿宋" w:hAnsi="仿宋"/>
          <w:color w:val="000000"/>
          <w:sz w:val="32"/>
          <w:szCs w:val="32"/>
        </w:rPr>
      </w:pPr>
      <w:r w:rsidRPr="008A7EB2">
        <w:rPr>
          <w:rStyle w:val="a7"/>
          <w:rFonts w:ascii="仿宋" w:eastAsia="仿宋" w:hAnsi="仿宋" w:hint="eastAsia"/>
          <w:bCs/>
          <w:color w:val="000000"/>
          <w:sz w:val="32"/>
          <w:szCs w:val="32"/>
        </w:rPr>
        <w:t>3</w:t>
      </w:r>
      <w:r w:rsidR="00556098" w:rsidRPr="008A7EB2">
        <w:rPr>
          <w:rStyle w:val="a7"/>
          <w:rFonts w:ascii="仿宋" w:eastAsia="仿宋" w:hAnsi="仿宋" w:hint="eastAsia"/>
          <w:bCs/>
          <w:color w:val="000000"/>
          <w:sz w:val="32"/>
          <w:szCs w:val="32"/>
        </w:rPr>
        <w:t>.社会保障和就业（类）行政事业单位养老支出（款）机关事业单位职业年金缴费支出（项）</w:t>
      </w:r>
      <w:r w:rsidR="00556098" w:rsidRPr="00362909">
        <w:rPr>
          <w:rStyle w:val="a7"/>
          <w:rFonts w:ascii="仿宋" w:eastAsia="仿宋" w:hAnsi="仿宋" w:hint="eastAsia"/>
          <w:b w:val="0"/>
          <w:bCs/>
          <w:color w:val="000000"/>
          <w:sz w:val="32"/>
          <w:szCs w:val="32"/>
        </w:rPr>
        <w:t>:支出决算为</w:t>
      </w:r>
      <w:r>
        <w:rPr>
          <w:rStyle w:val="a7"/>
          <w:rFonts w:ascii="仿宋" w:eastAsia="仿宋" w:hAnsi="仿宋" w:hint="eastAsia"/>
          <w:b w:val="0"/>
          <w:bCs/>
          <w:color w:val="000000"/>
          <w:sz w:val="32"/>
          <w:szCs w:val="32"/>
        </w:rPr>
        <w:t>27</w:t>
      </w:r>
      <w:r w:rsidR="00B12A02">
        <w:rPr>
          <w:rStyle w:val="a7"/>
          <w:rFonts w:ascii="仿宋" w:eastAsia="仿宋" w:hAnsi="仿宋" w:hint="eastAsia"/>
          <w:b w:val="0"/>
          <w:bCs/>
          <w:color w:val="000000"/>
          <w:sz w:val="32"/>
          <w:szCs w:val="32"/>
        </w:rPr>
        <w:t>8</w:t>
      </w:r>
      <w:r>
        <w:rPr>
          <w:rStyle w:val="a7"/>
          <w:rFonts w:ascii="仿宋" w:eastAsia="仿宋" w:hAnsi="仿宋" w:hint="eastAsia"/>
          <w:b w:val="0"/>
          <w:bCs/>
          <w:color w:val="000000"/>
          <w:sz w:val="32"/>
          <w:szCs w:val="32"/>
        </w:rPr>
        <w:t>.00</w:t>
      </w:r>
      <w:r w:rsidR="00556098" w:rsidRPr="00362909">
        <w:rPr>
          <w:rStyle w:val="a7"/>
          <w:rFonts w:ascii="仿宋" w:eastAsia="仿宋" w:hAnsi="仿宋" w:hint="eastAsia"/>
          <w:b w:val="0"/>
          <w:bCs/>
          <w:color w:val="000000"/>
          <w:sz w:val="32"/>
          <w:szCs w:val="32"/>
        </w:rPr>
        <w:t>万元，完成预算100%，决算数等于预算数。</w:t>
      </w:r>
    </w:p>
    <w:p w:rsidR="00556098" w:rsidRPr="00362909" w:rsidRDefault="008A7EB2" w:rsidP="008A7EB2">
      <w:pPr>
        <w:spacing w:line="600" w:lineRule="exact"/>
        <w:ind w:firstLineChars="200" w:firstLine="640"/>
        <w:rPr>
          <w:rFonts w:ascii="仿宋" w:eastAsia="仿宋" w:hAnsi="仿宋"/>
          <w:color w:val="000000"/>
          <w:sz w:val="32"/>
          <w:szCs w:val="32"/>
        </w:rPr>
      </w:pPr>
      <w:r w:rsidRPr="008A7EB2">
        <w:rPr>
          <w:rStyle w:val="a7"/>
          <w:rFonts w:ascii="仿宋" w:eastAsia="仿宋" w:hAnsi="仿宋" w:hint="eastAsia"/>
          <w:b w:val="0"/>
          <w:bCs/>
          <w:color w:val="000000"/>
          <w:sz w:val="32"/>
          <w:szCs w:val="32"/>
        </w:rPr>
        <w:t>4</w:t>
      </w:r>
      <w:r w:rsidR="00556098" w:rsidRPr="008A7EB2">
        <w:rPr>
          <w:rStyle w:val="a7"/>
          <w:rFonts w:ascii="仿宋" w:eastAsia="仿宋" w:hAnsi="仿宋" w:hint="eastAsia"/>
          <w:b w:val="0"/>
          <w:bCs/>
          <w:color w:val="000000"/>
          <w:sz w:val="32"/>
          <w:szCs w:val="32"/>
        </w:rPr>
        <w:t>.</w:t>
      </w:r>
      <w:r w:rsidR="00556098" w:rsidRPr="008A7EB2">
        <w:rPr>
          <w:rFonts w:ascii="仿宋" w:eastAsia="仿宋" w:hAnsi="仿宋" w:hint="eastAsia"/>
          <w:b/>
          <w:bCs/>
          <w:color w:val="000000" w:themeColor="text1"/>
          <w:sz w:val="32"/>
          <w:szCs w:val="32"/>
        </w:rPr>
        <w:t>卫生健康</w:t>
      </w:r>
      <w:r w:rsidR="00556098" w:rsidRPr="008A7EB2">
        <w:rPr>
          <w:rStyle w:val="a7"/>
          <w:rFonts w:ascii="仿宋" w:eastAsia="仿宋" w:hAnsi="仿宋" w:hint="eastAsia"/>
          <w:bCs/>
          <w:color w:val="000000"/>
          <w:sz w:val="32"/>
          <w:szCs w:val="32"/>
        </w:rPr>
        <w:t>（类）行政事业单位医疗（款）事业单位医疗（项）</w:t>
      </w:r>
      <w:r w:rsidR="00556098" w:rsidRPr="00362909">
        <w:rPr>
          <w:rStyle w:val="a7"/>
          <w:rFonts w:ascii="仿宋" w:eastAsia="仿宋" w:hAnsi="仿宋" w:hint="eastAsia"/>
          <w:b w:val="0"/>
          <w:bCs/>
          <w:color w:val="000000"/>
          <w:sz w:val="32"/>
          <w:szCs w:val="32"/>
        </w:rPr>
        <w:t>:支出决算为</w:t>
      </w:r>
      <w:r w:rsidR="00E40899">
        <w:rPr>
          <w:rStyle w:val="a7"/>
          <w:rFonts w:ascii="仿宋" w:eastAsia="仿宋" w:hAnsi="仿宋" w:hint="eastAsia"/>
          <w:b w:val="0"/>
          <w:bCs/>
          <w:color w:val="000000"/>
          <w:sz w:val="32"/>
          <w:szCs w:val="32"/>
        </w:rPr>
        <w:t>1</w:t>
      </w:r>
      <w:r w:rsidR="00B12A02">
        <w:rPr>
          <w:rStyle w:val="a7"/>
          <w:rFonts w:ascii="仿宋" w:eastAsia="仿宋" w:hAnsi="仿宋" w:hint="eastAsia"/>
          <w:b w:val="0"/>
          <w:bCs/>
          <w:color w:val="000000"/>
          <w:sz w:val="32"/>
          <w:szCs w:val="32"/>
        </w:rPr>
        <w:t>3</w:t>
      </w:r>
      <w:r w:rsidR="00E40899">
        <w:rPr>
          <w:rStyle w:val="a7"/>
          <w:rFonts w:ascii="仿宋" w:eastAsia="仿宋" w:hAnsi="仿宋" w:hint="eastAsia"/>
          <w:b w:val="0"/>
          <w:bCs/>
          <w:color w:val="000000"/>
          <w:sz w:val="32"/>
          <w:szCs w:val="32"/>
        </w:rPr>
        <w:t>5.00</w:t>
      </w:r>
      <w:r w:rsidR="00556098" w:rsidRPr="00362909">
        <w:rPr>
          <w:rStyle w:val="a7"/>
          <w:rFonts w:ascii="仿宋" w:eastAsia="仿宋" w:hAnsi="仿宋" w:hint="eastAsia"/>
          <w:b w:val="0"/>
          <w:bCs/>
          <w:color w:val="000000"/>
          <w:sz w:val="32"/>
          <w:szCs w:val="32"/>
        </w:rPr>
        <w:t>万元，完成预算100%，决算数等于预算数。</w:t>
      </w:r>
    </w:p>
    <w:p w:rsidR="00556098" w:rsidRPr="00362909" w:rsidRDefault="008A7EB2" w:rsidP="008A7EB2">
      <w:pPr>
        <w:spacing w:line="600" w:lineRule="exact"/>
        <w:ind w:firstLineChars="200" w:firstLine="640"/>
        <w:rPr>
          <w:rFonts w:ascii="仿宋" w:eastAsia="仿宋" w:hAnsi="仿宋"/>
          <w:color w:val="000000"/>
          <w:sz w:val="32"/>
          <w:szCs w:val="32"/>
        </w:rPr>
      </w:pPr>
      <w:r w:rsidRPr="008A7EB2">
        <w:rPr>
          <w:rStyle w:val="a7"/>
          <w:rFonts w:ascii="仿宋" w:eastAsia="仿宋" w:hAnsi="仿宋" w:hint="eastAsia"/>
          <w:b w:val="0"/>
          <w:bCs/>
          <w:color w:val="000000"/>
          <w:sz w:val="32"/>
          <w:szCs w:val="32"/>
        </w:rPr>
        <w:t>5</w:t>
      </w:r>
      <w:r w:rsidR="00556098" w:rsidRPr="008A7EB2">
        <w:rPr>
          <w:rStyle w:val="a7"/>
          <w:rFonts w:ascii="仿宋" w:eastAsia="仿宋" w:hAnsi="仿宋" w:hint="eastAsia"/>
          <w:b w:val="0"/>
          <w:bCs/>
          <w:color w:val="000000"/>
          <w:sz w:val="32"/>
          <w:szCs w:val="32"/>
        </w:rPr>
        <w:t>.</w:t>
      </w:r>
      <w:r w:rsidR="00556098" w:rsidRPr="008A7EB2">
        <w:rPr>
          <w:rFonts w:ascii="仿宋" w:eastAsia="仿宋" w:hAnsi="仿宋" w:hint="eastAsia"/>
          <w:b/>
          <w:bCs/>
          <w:color w:val="000000" w:themeColor="text1"/>
          <w:sz w:val="32"/>
          <w:szCs w:val="32"/>
        </w:rPr>
        <w:t>资源勘探工业信息等</w:t>
      </w:r>
      <w:r w:rsidR="00556098" w:rsidRPr="008A7EB2">
        <w:rPr>
          <w:rStyle w:val="a7"/>
          <w:rFonts w:ascii="仿宋" w:eastAsia="仿宋" w:hAnsi="仿宋" w:hint="eastAsia"/>
          <w:bCs/>
          <w:color w:val="000000"/>
          <w:sz w:val="32"/>
          <w:szCs w:val="32"/>
        </w:rPr>
        <w:t>（类）资源勘探开发（款）其他资源勘探业支出（项）</w:t>
      </w:r>
      <w:r w:rsidR="00556098" w:rsidRPr="00362909">
        <w:rPr>
          <w:rStyle w:val="a7"/>
          <w:rFonts w:ascii="仿宋" w:eastAsia="仿宋" w:hAnsi="仿宋" w:hint="eastAsia"/>
          <w:b w:val="0"/>
          <w:bCs/>
          <w:color w:val="000000"/>
          <w:sz w:val="32"/>
          <w:szCs w:val="32"/>
        </w:rPr>
        <w:t>:支出决算为</w:t>
      </w:r>
      <w:r w:rsidR="00E40899">
        <w:rPr>
          <w:rFonts w:ascii="仿宋" w:eastAsia="仿宋" w:hAnsi="仿宋" w:hint="eastAsia"/>
          <w:bCs/>
          <w:color w:val="000000" w:themeColor="text1"/>
          <w:sz w:val="32"/>
          <w:szCs w:val="32"/>
        </w:rPr>
        <w:t>29</w:t>
      </w:r>
      <w:r w:rsidR="00B12A02">
        <w:rPr>
          <w:rFonts w:ascii="仿宋" w:eastAsia="仿宋" w:hAnsi="仿宋" w:hint="eastAsia"/>
          <w:bCs/>
          <w:color w:val="000000" w:themeColor="text1"/>
          <w:sz w:val="32"/>
          <w:szCs w:val="32"/>
        </w:rPr>
        <w:t>92.51</w:t>
      </w:r>
      <w:r w:rsidR="00556098" w:rsidRPr="00362909">
        <w:rPr>
          <w:rStyle w:val="a7"/>
          <w:rFonts w:ascii="仿宋" w:eastAsia="仿宋" w:hAnsi="仿宋" w:hint="eastAsia"/>
          <w:b w:val="0"/>
          <w:bCs/>
          <w:color w:val="000000"/>
          <w:sz w:val="32"/>
          <w:szCs w:val="32"/>
        </w:rPr>
        <w:t>万元，完成预算100%，决算数等于预算数。</w:t>
      </w:r>
    </w:p>
    <w:p w:rsidR="00556098" w:rsidRDefault="008A7EB2" w:rsidP="008A7EB2">
      <w:pPr>
        <w:spacing w:line="600" w:lineRule="exact"/>
        <w:ind w:firstLineChars="200" w:firstLine="643"/>
        <w:rPr>
          <w:rStyle w:val="a7"/>
          <w:rFonts w:ascii="仿宋" w:eastAsia="仿宋" w:hAnsi="仿宋"/>
          <w:b w:val="0"/>
          <w:bCs/>
          <w:color w:val="000000"/>
          <w:sz w:val="32"/>
          <w:szCs w:val="32"/>
        </w:rPr>
      </w:pPr>
      <w:r w:rsidRPr="008A7EB2">
        <w:rPr>
          <w:rStyle w:val="a7"/>
          <w:rFonts w:ascii="仿宋" w:eastAsia="仿宋" w:hAnsi="仿宋" w:hint="eastAsia"/>
          <w:bCs/>
          <w:color w:val="000000"/>
          <w:sz w:val="32"/>
          <w:szCs w:val="32"/>
        </w:rPr>
        <w:t>6</w:t>
      </w:r>
      <w:r w:rsidR="00556098" w:rsidRPr="008A7EB2">
        <w:rPr>
          <w:rStyle w:val="a7"/>
          <w:rFonts w:ascii="仿宋" w:eastAsia="仿宋" w:hAnsi="仿宋" w:hint="eastAsia"/>
          <w:bCs/>
          <w:color w:val="000000"/>
          <w:sz w:val="32"/>
          <w:szCs w:val="32"/>
        </w:rPr>
        <w:t>.</w:t>
      </w:r>
      <w:r w:rsidR="00556098" w:rsidRPr="00D95892">
        <w:rPr>
          <w:rFonts w:ascii="仿宋" w:eastAsia="仿宋" w:hAnsi="仿宋" w:hint="eastAsia"/>
          <w:b/>
          <w:bCs/>
          <w:color w:val="000000" w:themeColor="text1"/>
          <w:sz w:val="32"/>
          <w:szCs w:val="32"/>
        </w:rPr>
        <w:t>住房保障</w:t>
      </w:r>
      <w:r w:rsidR="00556098" w:rsidRPr="008A7EB2">
        <w:rPr>
          <w:rStyle w:val="a7"/>
          <w:rFonts w:ascii="仿宋" w:eastAsia="仿宋" w:hAnsi="仿宋" w:hint="eastAsia"/>
          <w:bCs/>
          <w:color w:val="000000"/>
          <w:sz w:val="32"/>
          <w:szCs w:val="32"/>
        </w:rPr>
        <w:t>（类）住房改革支出（款）住房公积金（项）:</w:t>
      </w:r>
      <w:r w:rsidR="00556098" w:rsidRPr="005D0A84">
        <w:rPr>
          <w:rStyle w:val="a7"/>
          <w:rFonts w:ascii="仿宋" w:eastAsia="仿宋" w:hAnsi="仿宋" w:hint="eastAsia"/>
          <w:b w:val="0"/>
          <w:bCs/>
          <w:color w:val="000000"/>
          <w:sz w:val="32"/>
          <w:szCs w:val="32"/>
        </w:rPr>
        <w:t>支出决算为</w:t>
      </w:r>
      <w:r w:rsidR="00E40899">
        <w:rPr>
          <w:rFonts w:ascii="仿宋" w:eastAsia="仿宋" w:hAnsi="仿宋" w:hint="eastAsia"/>
          <w:bCs/>
          <w:color w:val="000000" w:themeColor="text1"/>
          <w:sz w:val="32"/>
          <w:szCs w:val="32"/>
        </w:rPr>
        <w:t>2</w:t>
      </w:r>
      <w:r w:rsidR="00B12A02">
        <w:rPr>
          <w:rFonts w:ascii="仿宋" w:eastAsia="仿宋" w:hAnsi="仿宋" w:hint="eastAsia"/>
          <w:bCs/>
          <w:color w:val="000000" w:themeColor="text1"/>
          <w:sz w:val="32"/>
          <w:szCs w:val="32"/>
        </w:rPr>
        <w:t>25</w:t>
      </w:r>
      <w:r w:rsidR="00E40899">
        <w:rPr>
          <w:rFonts w:ascii="仿宋" w:eastAsia="仿宋" w:hAnsi="仿宋" w:hint="eastAsia"/>
          <w:bCs/>
          <w:color w:val="000000" w:themeColor="text1"/>
          <w:sz w:val="32"/>
          <w:szCs w:val="32"/>
        </w:rPr>
        <w:t>.00</w:t>
      </w:r>
      <w:r w:rsidR="00556098" w:rsidRPr="005D0A84">
        <w:rPr>
          <w:rStyle w:val="a7"/>
          <w:rFonts w:ascii="仿宋" w:eastAsia="仿宋" w:hAnsi="仿宋" w:hint="eastAsia"/>
          <w:b w:val="0"/>
          <w:bCs/>
          <w:color w:val="000000"/>
          <w:sz w:val="32"/>
          <w:szCs w:val="32"/>
        </w:rPr>
        <w:t>万元，完成预算100%，决算数等于预算数。</w:t>
      </w:r>
    </w:p>
    <w:p w:rsidR="00556098" w:rsidRDefault="00556098" w:rsidP="002B28D2">
      <w:pPr>
        <w:spacing w:line="600" w:lineRule="exact"/>
        <w:ind w:firstLineChars="200" w:firstLine="640"/>
        <w:rPr>
          <w:rFonts w:ascii="仿宋" w:eastAsia="仿宋" w:hAnsi="仿宋"/>
          <w:color w:val="000000"/>
          <w:sz w:val="32"/>
          <w:szCs w:val="32"/>
        </w:rPr>
      </w:pPr>
    </w:p>
    <w:p w:rsidR="002472EF" w:rsidRDefault="002472EF" w:rsidP="002B28D2">
      <w:pPr>
        <w:spacing w:line="600" w:lineRule="exact"/>
        <w:ind w:firstLineChars="200" w:firstLine="640"/>
        <w:rPr>
          <w:rFonts w:ascii="仿宋" w:eastAsia="仿宋" w:hAnsi="仿宋"/>
          <w:color w:val="000000"/>
          <w:sz w:val="32"/>
          <w:szCs w:val="32"/>
        </w:rPr>
      </w:pPr>
    </w:p>
    <w:p w:rsidR="002472EF" w:rsidRDefault="002472EF" w:rsidP="002B28D2">
      <w:pPr>
        <w:spacing w:line="600" w:lineRule="exact"/>
        <w:ind w:firstLineChars="200" w:firstLine="640"/>
        <w:rPr>
          <w:rFonts w:ascii="仿宋" w:eastAsia="仿宋" w:hAnsi="仿宋"/>
          <w:color w:val="000000"/>
          <w:sz w:val="32"/>
          <w:szCs w:val="32"/>
        </w:rPr>
      </w:pPr>
    </w:p>
    <w:p w:rsidR="002472EF" w:rsidRDefault="002472EF" w:rsidP="002B28D2">
      <w:pPr>
        <w:spacing w:line="600" w:lineRule="exact"/>
        <w:ind w:firstLineChars="200" w:firstLine="640"/>
        <w:rPr>
          <w:rFonts w:ascii="仿宋" w:eastAsia="仿宋" w:hAnsi="仿宋"/>
          <w:color w:val="000000"/>
          <w:sz w:val="32"/>
          <w:szCs w:val="32"/>
        </w:rPr>
      </w:pPr>
    </w:p>
    <w:p w:rsidR="002472EF" w:rsidRDefault="002472EF" w:rsidP="002B28D2">
      <w:pPr>
        <w:spacing w:line="600" w:lineRule="exact"/>
        <w:ind w:firstLineChars="200" w:firstLine="640"/>
        <w:rPr>
          <w:rFonts w:ascii="仿宋" w:eastAsia="仿宋" w:hAnsi="仿宋"/>
          <w:color w:val="000000"/>
          <w:sz w:val="32"/>
          <w:szCs w:val="32"/>
        </w:rPr>
      </w:pPr>
    </w:p>
    <w:p w:rsidR="002472EF" w:rsidRDefault="002472EF" w:rsidP="002B28D2">
      <w:pPr>
        <w:spacing w:line="600" w:lineRule="exact"/>
        <w:ind w:firstLineChars="200" w:firstLine="640"/>
        <w:rPr>
          <w:rFonts w:ascii="仿宋" w:eastAsia="仿宋" w:hAnsi="仿宋"/>
          <w:color w:val="000000"/>
          <w:sz w:val="32"/>
          <w:szCs w:val="32"/>
        </w:rPr>
      </w:pPr>
    </w:p>
    <w:p w:rsidR="002472EF" w:rsidRDefault="002472EF" w:rsidP="002B28D2">
      <w:pPr>
        <w:spacing w:line="600" w:lineRule="exact"/>
        <w:ind w:firstLineChars="200" w:firstLine="640"/>
        <w:rPr>
          <w:rFonts w:ascii="仿宋" w:eastAsia="仿宋" w:hAnsi="仿宋"/>
          <w:color w:val="000000"/>
          <w:sz w:val="32"/>
          <w:szCs w:val="32"/>
        </w:rPr>
      </w:pPr>
    </w:p>
    <w:p w:rsidR="002472EF" w:rsidRDefault="002472EF" w:rsidP="002B28D2">
      <w:pPr>
        <w:spacing w:line="600" w:lineRule="exact"/>
        <w:ind w:firstLineChars="200" w:firstLine="640"/>
        <w:rPr>
          <w:rFonts w:ascii="仿宋" w:eastAsia="仿宋" w:hAnsi="仿宋"/>
          <w:color w:val="000000"/>
          <w:sz w:val="32"/>
          <w:szCs w:val="32"/>
        </w:rPr>
      </w:pPr>
    </w:p>
    <w:p w:rsidR="002472EF" w:rsidRDefault="002472EF" w:rsidP="002B28D2">
      <w:pPr>
        <w:spacing w:line="600" w:lineRule="exact"/>
        <w:ind w:firstLineChars="200" w:firstLine="640"/>
        <w:rPr>
          <w:rFonts w:ascii="仿宋" w:eastAsia="仿宋" w:hAnsi="仿宋"/>
          <w:color w:val="000000"/>
          <w:sz w:val="32"/>
          <w:szCs w:val="32"/>
        </w:rPr>
      </w:pPr>
    </w:p>
    <w:p w:rsidR="002B28D2" w:rsidRPr="00BC04FD" w:rsidRDefault="002B28D2" w:rsidP="002B28D2">
      <w:pPr>
        <w:spacing w:line="600" w:lineRule="exact"/>
        <w:ind w:firstLineChars="200" w:firstLine="600"/>
        <w:rPr>
          <w:rFonts w:ascii="仿宋" w:eastAsia="仿宋" w:hAnsi="仿宋"/>
          <w:color w:val="000000"/>
          <w:sz w:val="30"/>
          <w:szCs w:val="30"/>
        </w:rPr>
      </w:pPr>
    </w:p>
    <w:p w:rsidR="005D0A84" w:rsidRDefault="005D0A84" w:rsidP="005D0A84">
      <w:pPr>
        <w:tabs>
          <w:tab w:val="right" w:pos="8306"/>
        </w:tabs>
        <w:jc w:val="left"/>
        <w:rPr>
          <w:rStyle w:val="2Char"/>
          <w:b w:val="0"/>
        </w:rPr>
      </w:pPr>
      <w:bookmarkStart w:id="32" w:name="_Toc15377214"/>
      <w:bookmarkStart w:id="33" w:name="_Toc15396608"/>
      <w:r>
        <w:rPr>
          <w:rFonts w:ascii="黑体" w:eastAsia="黑体" w:hint="eastAsia"/>
          <w:sz w:val="32"/>
          <w:szCs w:val="32"/>
        </w:rPr>
        <w:lastRenderedPageBreak/>
        <w:t xml:space="preserve">  </w:t>
      </w:r>
      <w:r w:rsidR="008C7E25">
        <w:rPr>
          <w:rFonts w:ascii="黑体" w:eastAsia="黑体" w:hint="eastAsia"/>
          <w:sz w:val="32"/>
          <w:szCs w:val="32"/>
        </w:rPr>
        <w:t xml:space="preserve"> </w:t>
      </w:r>
      <w:r>
        <w:rPr>
          <w:rFonts w:ascii="黑体" w:eastAsia="黑体" w:hint="eastAsia"/>
          <w:sz w:val="32"/>
          <w:szCs w:val="32"/>
        </w:rPr>
        <w:t xml:space="preserve"> </w:t>
      </w:r>
      <w:r w:rsidRPr="005D0A84">
        <w:rPr>
          <w:rFonts w:ascii="黑体" w:eastAsia="黑体" w:hint="eastAsia"/>
          <w:sz w:val="32"/>
          <w:szCs w:val="32"/>
        </w:rPr>
        <w:t>六、</w:t>
      </w:r>
      <w:r w:rsidRPr="005D0A84">
        <w:rPr>
          <w:rFonts w:ascii="黑体" w:eastAsia="黑体" w:hAnsi="黑体" w:hint="eastAsia"/>
          <w:b/>
          <w:sz w:val="32"/>
          <w:szCs w:val="32"/>
        </w:rPr>
        <w:t>一</w:t>
      </w:r>
      <w:r w:rsidRPr="005D0A84">
        <w:rPr>
          <w:rStyle w:val="2Char"/>
          <w:rFonts w:ascii="黑体" w:eastAsia="黑体" w:hAnsi="黑体" w:hint="eastAsia"/>
          <w:b w:val="0"/>
        </w:rPr>
        <w:t>般公共预算财政拨款基本支出决算情况说明</w:t>
      </w:r>
      <w:bookmarkEnd w:id="32"/>
      <w:bookmarkEnd w:id="33"/>
      <w:r w:rsidR="00556098" w:rsidRPr="005D0A84">
        <w:rPr>
          <w:rStyle w:val="2Char"/>
          <w:rFonts w:ascii="黑体" w:eastAsia="黑体" w:hAnsi="黑体"/>
          <w:b w:val="0"/>
        </w:rPr>
        <w:tab/>
      </w:r>
    </w:p>
    <w:p w:rsidR="00556098" w:rsidRPr="005D0A84" w:rsidRDefault="005D0A84" w:rsidP="005D0A84">
      <w:pPr>
        <w:tabs>
          <w:tab w:val="right" w:pos="8306"/>
        </w:tabs>
        <w:jc w:val="left"/>
        <w:rPr>
          <w:rFonts w:asciiTheme="majorHAnsi" w:eastAsiaTheme="majorEastAsia" w:hAnsiTheme="majorHAnsi" w:cstheme="majorBidi"/>
          <w:bCs/>
          <w:sz w:val="32"/>
          <w:szCs w:val="32"/>
        </w:rPr>
      </w:pPr>
      <w:r>
        <w:rPr>
          <w:rStyle w:val="2Char"/>
          <w:rFonts w:hint="eastAsia"/>
          <w:b w:val="0"/>
        </w:rPr>
        <w:t xml:space="preserve">    </w:t>
      </w:r>
      <w:r w:rsidR="00556098" w:rsidRPr="005D0A84">
        <w:rPr>
          <w:rFonts w:ascii="仿宋" w:eastAsia="仿宋" w:hAnsi="仿宋" w:hint="eastAsia"/>
          <w:sz w:val="32"/>
          <w:szCs w:val="32"/>
        </w:rPr>
        <w:t>202</w:t>
      </w:r>
      <w:r w:rsidR="00B12A02">
        <w:rPr>
          <w:rFonts w:ascii="仿宋" w:eastAsia="仿宋" w:hAnsi="仿宋" w:hint="eastAsia"/>
          <w:sz w:val="32"/>
          <w:szCs w:val="32"/>
        </w:rPr>
        <w:t>2</w:t>
      </w:r>
      <w:r w:rsidR="00556098" w:rsidRPr="005D0A84">
        <w:rPr>
          <w:rFonts w:ascii="仿宋" w:eastAsia="仿宋" w:hAnsi="仿宋" w:hint="eastAsia"/>
          <w:sz w:val="32"/>
          <w:szCs w:val="32"/>
        </w:rPr>
        <w:t>年一般公共预算财政拨款基本支出</w:t>
      </w:r>
      <w:r w:rsidR="00112302">
        <w:rPr>
          <w:rFonts w:ascii="仿宋" w:eastAsia="仿宋" w:hAnsi="仿宋" w:hint="eastAsia"/>
          <w:sz w:val="32"/>
          <w:szCs w:val="32"/>
        </w:rPr>
        <w:t>4799.78</w:t>
      </w:r>
      <w:r w:rsidR="00556098" w:rsidRPr="005D0A84">
        <w:rPr>
          <w:rFonts w:ascii="仿宋" w:eastAsia="仿宋" w:hAnsi="仿宋" w:hint="eastAsia"/>
          <w:sz w:val="32"/>
          <w:szCs w:val="32"/>
        </w:rPr>
        <w:t>万元，其中：</w:t>
      </w:r>
    </w:p>
    <w:p w:rsidR="008B3F25" w:rsidRPr="005D0A84" w:rsidRDefault="005D0A84" w:rsidP="008B3F25">
      <w:pPr>
        <w:spacing w:line="600" w:lineRule="exact"/>
        <w:rPr>
          <w:rFonts w:ascii="仿宋" w:eastAsia="仿宋" w:hAnsi="仿宋"/>
          <w:color w:val="000000"/>
          <w:sz w:val="32"/>
          <w:szCs w:val="32"/>
        </w:rPr>
      </w:pPr>
      <w:r>
        <w:rPr>
          <w:rFonts w:ascii="仿宋" w:eastAsia="仿宋" w:hAnsi="仿宋" w:hint="eastAsia"/>
          <w:sz w:val="32"/>
          <w:szCs w:val="32"/>
        </w:rPr>
        <w:t xml:space="preserve">    </w:t>
      </w:r>
      <w:r w:rsidR="00556098" w:rsidRPr="005D0A84">
        <w:rPr>
          <w:rFonts w:ascii="仿宋" w:eastAsia="仿宋" w:hAnsi="仿宋" w:hint="eastAsia"/>
          <w:sz w:val="32"/>
          <w:szCs w:val="32"/>
        </w:rPr>
        <w:t>人员经费</w:t>
      </w:r>
      <w:r w:rsidR="00112302">
        <w:rPr>
          <w:rFonts w:ascii="仿宋" w:eastAsia="仿宋" w:hAnsi="仿宋" w:hint="eastAsia"/>
          <w:sz w:val="32"/>
          <w:szCs w:val="32"/>
        </w:rPr>
        <w:t>4590.78</w:t>
      </w:r>
      <w:r w:rsidR="00556098" w:rsidRPr="005D0A84">
        <w:rPr>
          <w:rFonts w:ascii="仿宋" w:eastAsia="仿宋" w:hAnsi="仿宋" w:hint="eastAsia"/>
          <w:sz w:val="32"/>
          <w:szCs w:val="32"/>
        </w:rPr>
        <w:t>万元，主要包括：基本工资、津贴补贴、绩效工资、机关事业单位基本养老保险缴费、职业年金缴费、职工基本医疗保险缴费、其他社会保障缴费、住房公积金、离休费、</w:t>
      </w:r>
      <w:r w:rsidR="00B33678">
        <w:rPr>
          <w:rFonts w:ascii="仿宋" w:eastAsia="仿宋" w:hAnsi="仿宋" w:hint="eastAsia"/>
          <w:sz w:val="32"/>
          <w:szCs w:val="32"/>
        </w:rPr>
        <w:t>退休费、</w:t>
      </w:r>
      <w:r w:rsidR="00556098" w:rsidRPr="005D0A84">
        <w:rPr>
          <w:rFonts w:ascii="仿宋" w:eastAsia="仿宋" w:hAnsi="仿宋" w:hint="eastAsia"/>
          <w:sz w:val="32"/>
          <w:szCs w:val="32"/>
        </w:rPr>
        <w:t>奖励金</w:t>
      </w:r>
      <w:r w:rsidR="00E8208A">
        <w:rPr>
          <w:rFonts w:ascii="仿宋" w:eastAsia="仿宋" w:hAnsi="仿宋" w:hint="eastAsia"/>
          <w:sz w:val="32"/>
          <w:szCs w:val="32"/>
        </w:rPr>
        <w:t>、</w:t>
      </w:r>
      <w:r w:rsidR="00E8208A" w:rsidRPr="00E8208A">
        <w:rPr>
          <w:rFonts w:ascii="仿宋" w:eastAsia="仿宋" w:hAnsi="仿宋" w:hint="eastAsia"/>
          <w:sz w:val="32"/>
          <w:szCs w:val="32"/>
        </w:rPr>
        <w:t>其他对个人和家庭的补助</w:t>
      </w:r>
      <w:r w:rsidR="00556098" w:rsidRPr="005D0A84">
        <w:rPr>
          <w:rFonts w:ascii="仿宋" w:eastAsia="仿宋" w:hAnsi="仿宋" w:hint="eastAsia"/>
          <w:sz w:val="32"/>
          <w:szCs w:val="32"/>
        </w:rPr>
        <w:t>。</w:t>
      </w:r>
      <w:r w:rsidR="00556098" w:rsidRPr="005D0A84">
        <w:rPr>
          <w:rFonts w:ascii="仿宋" w:eastAsia="仿宋" w:hAnsi="仿宋" w:hint="eastAsia"/>
          <w:sz w:val="32"/>
          <w:szCs w:val="32"/>
        </w:rPr>
        <w:br/>
      </w:r>
      <w:r>
        <w:rPr>
          <w:rFonts w:ascii="仿宋" w:eastAsia="仿宋" w:hAnsi="仿宋" w:hint="eastAsia"/>
          <w:sz w:val="32"/>
          <w:szCs w:val="32"/>
        </w:rPr>
        <w:t xml:space="preserve">　  </w:t>
      </w:r>
      <w:r w:rsidR="00556098" w:rsidRPr="005D0A84">
        <w:rPr>
          <w:rFonts w:ascii="仿宋" w:eastAsia="仿宋" w:hAnsi="仿宋" w:hint="eastAsia"/>
          <w:sz w:val="32"/>
          <w:szCs w:val="32"/>
        </w:rPr>
        <w:t>日常公用经费</w:t>
      </w:r>
      <w:r w:rsidR="00112302">
        <w:rPr>
          <w:rFonts w:ascii="仿宋" w:eastAsia="仿宋" w:hAnsi="仿宋" w:hint="eastAsia"/>
          <w:sz w:val="32"/>
          <w:szCs w:val="32"/>
        </w:rPr>
        <w:t>209</w:t>
      </w:r>
      <w:r w:rsidR="00032A71">
        <w:rPr>
          <w:rFonts w:ascii="仿宋" w:eastAsia="仿宋" w:hAnsi="仿宋" w:hint="eastAsia"/>
          <w:sz w:val="32"/>
          <w:szCs w:val="32"/>
        </w:rPr>
        <w:t>.00</w:t>
      </w:r>
      <w:r w:rsidR="00556098" w:rsidRPr="005D0A84">
        <w:rPr>
          <w:rFonts w:ascii="仿宋" w:eastAsia="仿宋" w:hAnsi="仿宋" w:hint="eastAsia"/>
          <w:sz w:val="32"/>
          <w:szCs w:val="32"/>
        </w:rPr>
        <w:t>万元，主要包括：办公费、</w:t>
      </w:r>
      <w:r w:rsidR="00112302">
        <w:rPr>
          <w:rFonts w:ascii="仿宋" w:eastAsia="仿宋" w:hAnsi="仿宋" w:hint="eastAsia"/>
          <w:sz w:val="32"/>
          <w:szCs w:val="32"/>
        </w:rPr>
        <w:t>差旅费、维修（护）费</w:t>
      </w:r>
      <w:r w:rsidR="00556098" w:rsidRPr="005D0A84">
        <w:rPr>
          <w:rFonts w:ascii="仿宋" w:eastAsia="仿宋" w:hAnsi="仿宋" w:hint="eastAsia"/>
          <w:sz w:val="32"/>
          <w:szCs w:val="32"/>
        </w:rPr>
        <w:t>、工会经费、福利费、其他商品和服务支出</w:t>
      </w:r>
      <w:r w:rsidR="00556098" w:rsidRPr="005D0A84">
        <w:rPr>
          <w:rFonts w:ascii="仿宋" w:eastAsia="仿宋" w:hAnsi="仿宋" w:hint="eastAsia"/>
          <w:color w:val="000000"/>
          <w:sz w:val="32"/>
          <w:szCs w:val="32"/>
        </w:rPr>
        <w:t>。</w:t>
      </w:r>
    </w:p>
    <w:p w:rsidR="008B3F25" w:rsidRPr="008B3F25" w:rsidRDefault="00503822" w:rsidP="00503822">
      <w:pPr>
        <w:spacing w:line="600" w:lineRule="exact"/>
        <w:outlineLvl w:val="1"/>
        <w:rPr>
          <w:rStyle w:val="2Char"/>
          <w:rFonts w:ascii="黑体" w:eastAsia="黑体" w:hAnsi="黑体"/>
          <w:b w:val="0"/>
        </w:rPr>
      </w:pPr>
      <w:bookmarkStart w:id="34" w:name="_Toc15377218"/>
      <w:bookmarkStart w:id="35" w:name="_Toc15396610"/>
      <w:r>
        <w:rPr>
          <w:rFonts w:ascii="仿宋" w:eastAsia="仿宋" w:hAnsi="仿宋" w:hint="eastAsia"/>
          <w:b/>
          <w:color w:val="FF0000"/>
          <w:sz w:val="32"/>
          <w:szCs w:val="32"/>
        </w:rPr>
        <w:t xml:space="preserve">   </w:t>
      </w:r>
      <w:r w:rsidR="008B3F25" w:rsidRPr="008B3F25">
        <w:rPr>
          <w:rFonts w:ascii="黑体" w:eastAsia="黑体" w:hint="eastAsia"/>
          <w:sz w:val="32"/>
          <w:szCs w:val="32"/>
        </w:rPr>
        <w:t>七、</w:t>
      </w:r>
      <w:r w:rsidR="008B3F25" w:rsidRPr="008B3F25">
        <w:rPr>
          <w:rStyle w:val="2Char"/>
          <w:rFonts w:ascii="黑体" w:eastAsia="黑体" w:hAnsi="黑体" w:hint="eastAsia"/>
          <w:b w:val="0"/>
        </w:rPr>
        <w:t>“三公”经费财政拨款支出决算情况说明</w:t>
      </w:r>
    </w:p>
    <w:p w:rsidR="004946FF" w:rsidRPr="00503822" w:rsidRDefault="004946FF" w:rsidP="004946FF">
      <w:pPr>
        <w:pStyle w:val="a9"/>
        <w:spacing w:line="600" w:lineRule="exact"/>
        <w:ind w:firstLineChars="0" w:firstLine="0"/>
        <w:outlineLvl w:val="1"/>
        <w:rPr>
          <w:rFonts w:ascii="仿宋" w:eastAsia="仿宋" w:hAnsi="仿宋"/>
          <w:sz w:val="32"/>
          <w:szCs w:val="32"/>
        </w:rPr>
      </w:pPr>
      <w:bookmarkStart w:id="36" w:name="OLE_LINK2"/>
      <w:bookmarkStart w:id="37" w:name="OLE_LINK3"/>
      <w:bookmarkStart w:id="38" w:name="_Toc15377219"/>
      <w:bookmarkStart w:id="39" w:name="_Toc15396611"/>
      <w:bookmarkEnd w:id="34"/>
      <w:bookmarkEnd w:id="35"/>
      <w:r>
        <w:rPr>
          <w:rFonts w:ascii="仿宋" w:eastAsia="仿宋" w:hAnsi="仿宋" w:hint="eastAsia"/>
          <w:bCs/>
          <w:sz w:val="32"/>
          <w:szCs w:val="32"/>
        </w:rPr>
        <w:t xml:space="preserve">   </w:t>
      </w:r>
      <w:r w:rsidRPr="00C70D1A">
        <w:rPr>
          <w:rFonts w:ascii="仿宋" w:eastAsia="仿宋" w:hAnsi="仿宋" w:hint="eastAsia"/>
          <w:bCs/>
          <w:sz w:val="32"/>
          <w:szCs w:val="32"/>
        </w:rPr>
        <w:t>本单位</w:t>
      </w:r>
      <w:r w:rsidRPr="006C123C">
        <w:rPr>
          <w:rFonts w:ascii="仿宋" w:eastAsia="仿宋" w:hAnsi="仿宋"/>
          <w:bCs/>
          <w:sz w:val="32"/>
          <w:szCs w:val="32"/>
        </w:rPr>
        <w:t>20</w:t>
      </w:r>
      <w:r>
        <w:rPr>
          <w:rFonts w:ascii="仿宋" w:eastAsia="仿宋" w:hAnsi="仿宋" w:hint="eastAsia"/>
          <w:bCs/>
          <w:sz w:val="32"/>
          <w:szCs w:val="32"/>
        </w:rPr>
        <w:t>2</w:t>
      </w:r>
      <w:r w:rsidR="005716ED">
        <w:rPr>
          <w:rFonts w:ascii="仿宋" w:eastAsia="仿宋" w:hAnsi="仿宋" w:hint="eastAsia"/>
          <w:bCs/>
          <w:sz w:val="32"/>
          <w:szCs w:val="32"/>
        </w:rPr>
        <w:t>1</w:t>
      </w:r>
      <w:r w:rsidRPr="006C123C">
        <w:rPr>
          <w:rFonts w:ascii="仿宋" w:eastAsia="仿宋" w:hAnsi="仿宋"/>
          <w:bCs/>
          <w:sz w:val="32"/>
          <w:szCs w:val="32"/>
        </w:rPr>
        <w:t>年三公经费为0，202</w:t>
      </w:r>
      <w:r w:rsidR="005716ED">
        <w:rPr>
          <w:rFonts w:ascii="仿宋" w:eastAsia="仿宋" w:hAnsi="仿宋" w:hint="eastAsia"/>
          <w:bCs/>
          <w:sz w:val="32"/>
          <w:szCs w:val="32"/>
        </w:rPr>
        <w:t>2</w:t>
      </w:r>
      <w:r w:rsidRPr="006C123C">
        <w:rPr>
          <w:rFonts w:ascii="仿宋" w:eastAsia="仿宋" w:hAnsi="仿宋"/>
          <w:bCs/>
          <w:sz w:val="32"/>
          <w:szCs w:val="32"/>
        </w:rPr>
        <w:t>年三公经费</w:t>
      </w:r>
      <w:r w:rsidR="009952EA">
        <w:rPr>
          <w:rFonts w:ascii="仿宋" w:eastAsia="仿宋" w:hAnsi="仿宋" w:hint="eastAsia"/>
          <w:bCs/>
          <w:sz w:val="32"/>
          <w:szCs w:val="32"/>
        </w:rPr>
        <w:t>预算</w:t>
      </w:r>
      <w:r w:rsidRPr="006C123C">
        <w:rPr>
          <w:rFonts w:ascii="仿宋" w:eastAsia="仿宋" w:hAnsi="仿宋"/>
          <w:bCs/>
          <w:sz w:val="32"/>
          <w:szCs w:val="32"/>
        </w:rPr>
        <w:t>为0，</w:t>
      </w:r>
      <w:r w:rsidR="009952EA">
        <w:rPr>
          <w:rFonts w:ascii="仿宋" w:eastAsia="仿宋" w:hAnsi="仿宋" w:hint="eastAsia"/>
          <w:bCs/>
          <w:sz w:val="32"/>
          <w:szCs w:val="32"/>
        </w:rPr>
        <w:t>决算为0。</w:t>
      </w:r>
      <w:r w:rsidRPr="006C123C">
        <w:rPr>
          <w:rFonts w:ascii="仿宋" w:eastAsia="仿宋" w:hAnsi="仿宋"/>
          <w:bCs/>
          <w:sz w:val="32"/>
          <w:szCs w:val="32"/>
        </w:rPr>
        <w:t>与上年度相比无增减变化</w:t>
      </w:r>
      <w:r>
        <w:rPr>
          <w:rFonts w:ascii="仿宋" w:eastAsia="仿宋" w:hAnsi="仿宋" w:hint="eastAsia"/>
          <w:bCs/>
          <w:sz w:val="32"/>
          <w:szCs w:val="32"/>
        </w:rPr>
        <w:t>。</w:t>
      </w:r>
    </w:p>
    <w:bookmarkEnd w:id="36"/>
    <w:bookmarkEnd w:id="37"/>
    <w:p w:rsidR="004946FF" w:rsidRDefault="004946FF" w:rsidP="008B3F25">
      <w:pPr>
        <w:pStyle w:val="a9"/>
        <w:spacing w:line="600" w:lineRule="exact"/>
        <w:ind w:left="420" w:firstLineChars="0" w:firstLine="0"/>
        <w:outlineLvl w:val="1"/>
        <w:rPr>
          <w:rStyle w:val="2Char"/>
          <w:rFonts w:ascii="黑体" w:eastAsia="黑体" w:hAnsi="黑体"/>
          <w:b w:val="0"/>
        </w:rPr>
      </w:pPr>
      <w:r w:rsidRPr="008B3F25">
        <w:rPr>
          <w:rFonts w:ascii="黑体" w:eastAsia="黑体" w:hint="eastAsia"/>
          <w:sz w:val="32"/>
          <w:szCs w:val="32"/>
        </w:rPr>
        <w:t>八、</w:t>
      </w:r>
      <w:r w:rsidRPr="008B3F25">
        <w:rPr>
          <w:rStyle w:val="2Char"/>
          <w:rFonts w:ascii="黑体" w:eastAsia="黑体" w:hAnsi="黑体" w:hint="eastAsia"/>
          <w:b w:val="0"/>
        </w:rPr>
        <w:t>政府性基金预算支出决算情况说明</w:t>
      </w:r>
    </w:p>
    <w:p w:rsidR="00B33678" w:rsidRDefault="00B33678" w:rsidP="00B33678">
      <w:pPr>
        <w:spacing w:line="600" w:lineRule="exact"/>
        <w:ind w:firstLineChars="177" w:firstLine="566"/>
        <w:jc w:val="left"/>
        <w:rPr>
          <w:rFonts w:ascii="仿宋_GB2312" w:eastAsia="仿宋_GB2312"/>
          <w:sz w:val="32"/>
          <w:szCs w:val="32"/>
        </w:rPr>
      </w:pPr>
      <w:bookmarkStart w:id="40" w:name="_Toc15377221"/>
      <w:bookmarkStart w:id="41" w:name="_Toc15396612"/>
      <w:bookmarkEnd w:id="38"/>
      <w:bookmarkEnd w:id="39"/>
      <w:r>
        <w:rPr>
          <w:rFonts w:ascii="仿宋_GB2312" w:eastAsia="仿宋_GB2312"/>
          <w:sz w:val="32"/>
          <w:szCs w:val="32"/>
        </w:rPr>
        <w:t>20</w:t>
      </w:r>
      <w:r>
        <w:rPr>
          <w:rFonts w:ascii="仿宋_GB2312" w:eastAsia="仿宋_GB2312" w:hint="eastAsia"/>
          <w:sz w:val="32"/>
          <w:szCs w:val="32"/>
        </w:rPr>
        <w:t>2</w:t>
      </w:r>
      <w:r w:rsidR="005716ED">
        <w:rPr>
          <w:rFonts w:ascii="仿宋_GB2312" w:eastAsia="仿宋_GB2312" w:hint="eastAsia"/>
          <w:sz w:val="32"/>
          <w:szCs w:val="32"/>
        </w:rPr>
        <w:t>2</w:t>
      </w:r>
      <w:r>
        <w:rPr>
          <w:rFonts w:ascii="仿宋_GB2312" w:eastAsia="仿宋_GB2312" w:hint="eastAsia"/>
          <w:sz w:val="32"/>
          <w:szCs w:val="32"/>
        </w:rPr>
        <w:t>年政府性基金预算财政拨款支出0万元。</w:t>
      </w:r>
    </w:p>
    <w:p w:rsidR="00555A30" w:rsidRDefault="004946FF" w:rsidP="00555A30">
      <w:pPr>
        <w:spacing w:line="600" w:lineRule="exact"/>
        <w:outlineLvl w:val="1"/>
        <w:rPr>
          <w:rStyle w:val="2Char"/>
          <w:rFonts w:ascii="黑体" w:eastAsia="黑体" w:hAnsi="黑体"/>
          <w:b w:val="0"/>
        </w:rPr>
      </w:pPr>
      <w:r>
        <w:rPr>
          <w:rStyle w:val="2Char"/>
          <w:rFonts w:ascii="黑体" w:eastAsia="黑体" w:hAnsi="黑体" w:hint="eastAsia"/>
          <w:b w:val="0"/>
        </w:rPr>
        <w:t xml:space="preserve">   九、</w:t>
      </w:r>
      <w:r w:rsidRPr="008B3F25">
        <w:rPr>
          <w:rStyle w:val="2Char"/>
          <w:rFonts w:ascii="黑体" w:eastAsia="黑体" w:hAnsi="黑体" w:hint="eastAsia"/>
          <w:b w:val="0"/>
        </w:rPr>
        <w:t>国有资本经营预算支出决算情况说明</w:t>
      </w:r>
      <w:bookmarkStart w:id="42" w:name="_Toc15377224"/>
      <w:bookmarkEnd w:id="40"/>
      <w:bookmarkEnd w:id="41"/>
    </w:p>
    <w:p w:rsidR="00B33678" w:rsidRPr="00555A30" w:rsidRDefault="00555A30" w:rsidP="00555A30">
      <w:pPr>
        <w:spacing w:line="600" w:lineRule="exact"/>
        <w:outlineLvl w:val="1"/>
        <w:rPr>
          <w:rFonts w:ascii="黑体" w:eastAsia="黑体" w:hAnsi="黑体" w:cstheme="majorBidi"/>
          <w:bCs/>
          <w:sz w:val="32"/>
          <w:szCs w:val="32"/>
        </w:rPr>
      </w:pPr>
      <w:r>
        <w:rPr>
          <w:rStyle w:val="2Char"/>
          <w:rFonts w:ascii="黑体" w:eastAsia="黑体" w:hAnsi="黑体" w:hint="eastAsia"/>
          <w:b w:val="0"/>
        </w:rPr>
        <w:t xml:space="preserve">    </w:t>
      </w:r>
      <w:r w:rsidR="00B33678">
        <w:rPr>
          <w:rFonts w:ascii="仿宋_GB2312" w:eastAsia="仿宋_GB2312"/>
          <w:sz w:val="32"/>
          <w:szCs w:val="32"/>
        </w:rPr>
        <w:t>20</w:t>
      </w:r>
      <w:r w:rsidR="00B33678">
        <w:rPr>
          <w:rFonts w:ascii="仿宋_GB2312" w:eastAsia="仿宋_GB2312" w:hint="eastAsia"/>
          <w:sz w:val="32"/>
          <w:szCs w:val="32"/>
        </w:rPr>
        <w:t>2</w:t>
      </w:r>
      <w:r w:rsidR="005716ED">
        <w:rPr>
          <w:rFonts w:ascii="仿宋_GB2312" w:eastAsia="仿宋_GB2312" w:hint="eastAsia"/>
          <w:sz w:val="32"/>
          <w:szCs w:val="32"/>
        </w:rPr>
        <w:t>2</w:t>
      </w:r>
      <w:r w:rsidR="00B33678">
        <w:rPr>
          <w:rFonts w:ascii="仿宋_GB2312" w:eastAsia="仿宋_GB2312" w:hint="eastAsia"/>
          <w:sz w:val="32"/>
          <w:szCs w:val="32"/>
        </w:rPr>
        <w:t>年国有资本经营预算财政拨款支出0万元。</w:t>
      </w:r>
    </w:p>
    <w:p w:rsidR="004946FF" w:rsidRPr="00C7208E" w:rsidRDefault="004946FF" w:rsidP="00C7208E">
      <w:pPr>
        <w:spacing w:line="600" w:lineRule="exact"/>
        <w:outlineLvl w:val="1"/>
        <w:rPr>
          <w:rStyle w:val="2Char"/>
          <w:rFonts w:ascii="黑体" w:eastAsia="黑体" w:hAnsi="黑体"/>
          <w:b w:val="0"/>
        </w:rPr>
      </w:pPr>
      <w:r>
        <w:rPr>
          <w:rStyle w:val="2Char"/>
          <w:rFonts w:ascii="黑体" w:eastAsia="黑体" w:hAnsi="黑体" w:hint="eastAsia"/>
          <w:b w:val="0"/>
        </w:rPr>
        <w:t xml:space="preserve">   十、</w:t>
      </w:r>
      <w:r w:rsidRPr="00C7208E">
        <w:rPr>
          <w:rStyle w:val="2Char"/>
          <w:rFonts w:ascii="黑体" w:eastAsia="黑体" w:hAnsi="黑体" w:hint="eastAsia"/>
          <w:b w:val="0"/>
        </w:rPr>
        <w:t>其他重要事项的情况说明</w:t>
      </w:r>
    </w:p>
    <w:p w:rsidR="004946FF" w:rsidRDefault="004946FF" w:rsidP="00C7208E">
      <w:pPr>
        <w:spacing w:line="600" w:lineRule="exact"/>
        <w:ind w:firstLineChars="200" w:firstLine="643"/>
        <w:outlineLvl w:val="2"/>
        <w:rPr>
          <w:rFonts w:ascii="仿宋" w:eastAsia="仿宋" w:hAnsi="仿宋"/>
          <w:sz w:val="32"/>
          <w:szCs w:val="32"/>
        </w:rPr>
      </w:pPr>
      <w:bookmarkStart w:id="43" w:name="_Toc15377222"/>
      <w:r>
        <w:rPr>
          <w:rFonts w:ascii="仿宋" w:eastAsia="仿宋" w:hAnsi="仿宋" w:hint="eastAsia"/>
          <w:b/>
          <w:sz w:val="32"/>
          <w:szCs w:val="32"/>
        </w:rPr>
        <w:t>（一）机关运行经费支出情况</w:t>
      </w:r>
      <w:bookmarkEnd w:id="43"/>
    </w:p>
    <w:p w:rsidR="004946FF" w:rsidRDefault="004946FF" w:rsidP="00C7208E">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w:t>
      </w:r>
      <w:r w:rsidR="005716ED">
        <w:rPr>
          <w:rFonts w:ascii="仿宋_GB2312" w:eastAsia="仿宋_GB2312" w:hint="eastAsia"/>
          <w:sz w:val="32"/>
          <w:szCs w:val="32"/>
        </w:rPr>
        <w:t>2</w:t>
      </w:r>
      <w:r>
        <w:rPr>
          <w:rFonts w:ascii="仿宋_GB2312" w:eastAsia="仿宋_GB2312" w:hint="eastAsia"/>
          <w:sz w:val="32"/>
          <w:szCs w:val="32"/>
        </w:rPr>
        <w:t>年，我单位机关运行经费支出0万元。</w:t>
      </w:r>
    </w:p>
    <w:p w:rsidR="004946FF" w:rsidRDefault="004946FF" w:rsidP="00C7208E">
      <w:pPr>
        <w:autoSpaceDE w:val="0"/>
        <w:autoSpaceDN w:val="0"/>
        <w:adjustRightInd w:val="0"/>
        <w:spacing w:line="600" w:lineRule="exact"/>
        <w:ind w:firstLineChars="200" w:firstLine="643"/>
        <w:jc w:val="left"/>
        <w:outlineLvl w:val="2"/>
        <w:rPr>
          <w:rFonts w:ascii="仿宋" w:eastAsia="仿宋" w:hAnsi="仿宋"/>
          <w:b/>
          <w:sz w:val="32"/>
          <w:szCs w:val="32"/>
        </w:rPr>
      </w:pPr>
      <w:bookmarkStart w:id="44" w:name="_Toc15377223"/>
      <w:r>
        <w:rPr>
          <w:rFonts w:ascii="仿宋" w:eastAsia="仿宋" w:hAnsi="仿宋" w:hint="eastAsia"/>
          <w:b/>
          <w:sz w:val="32"/>
          <w:szCs w:val="32"/>
        </w:rPr>
        <w:t>（二）政府采购支出情况</w:t>
      </w:r>
      <w:bookmarkEnd w:id="44"/>
    </w:p>
    <w:p w:rsidR="004946FF" w:rsidRDefault="004946FF" w:rsidP="00C7208E">
      <w:pPr>
        <w:spacing w:line="600" w:lineRule="exact"/>
        <w:ind w:firstLineChars="200" w:firstLine="640"/>
        <w:rPr>
          <w:rFonts w:ascii="仿宋_GB2312" w:eastAsia="仿宋_GB2312" w:hint="eastAsia"/>
          <w:sz w:val="32"/>
          <w:szCs w:val="32"/>
        </w:rPr>
      </w:pPr>
      <w:r>
        <w:rPr>
          <w:rFonts w:ascii="仿宋_GB2312" w:eastAsia="仿宋_GB2312"/>
          <w:sz w:val="32"/>
          <w:szCs w:val="32"/>
        </w:rPr>
        <w:t>20</w:t>
      </w:r>
      <w:r>
        <w:rPr>
          <w:rFonts w:ascii="仿宋_GB2312" w:eastAsia="仿宋_GB2312" w:hint="eastAsia"/>
          <w:sz w:val="32"/>
          <w:szCs w:val="32"/>
        </w:rPr>
        <w:t>2</w:t>
      </w:r>
      <w:r w:rsidR="005716ED">
        <w:rPr>
          <w:rFonts w:ascii="仿宋_GB2312" w:eastAsia="仿宋_GB2312" w:hint="eastAsia"/>
          <w:sz w:val="32"/>
          <w:szCs w:val="32"/>
        </w:rPr>
        <w:t>2</w:t>
      </w:r>
      <w:r>
        <w:rPr>
          <w:rFonts w:ascii="仿宋_GB2312" w:eastAsia="仿宋_GB2312" w:hint="eastAsia"/>
          <w:sz w:val="32"/>
          <w:szCs w:val="32"/>
        </w:rPr>
        <w:t>年，我单位政府采购支出总额0万元。</w:t>
      </w:r>
    </w:p>
    <w:p w:rsidR="00473AFF" w:rsidRPr="00473AFF" w:rsidRDefault="00473AFF" w:rsidP="00C7208E">
      <w:pPr>
        <w:spacing w:line="600" w:lineRule="exact"/>
        <w:ind w:firstLineChars="200" w:firstLine="640"/>
        <w:rPr>
          <w:rFonts w:ascii="仿宋_GB2312" w:eastAsia="仿宋_GB2312"/>
          <w:sz w:val="32"/>
          <w:szCs w:val="32"/>
        </w:rPr>
      </w:pPr>
    </w:p>
    <w:p w:rsidR="00556098" w:rsidRPr="00C7208E" w:rsidRDefault="004946FF" w:rsidP="00C7208E">
      <w:pPr>
        <w:autoSpaceDE w:val="0"/>
        <w:autoSpaceDN w:val="0"/>
        <w:spacing w:line="600" w:lineRule="exact"/>
        <w:ind w:firstLineChars="200" w:firstLine="643"/>
        <w:outlineLvl w:val="2"/>
        <w:rPr>
          <w:rFonts w:ascii="仿宋" w:eastAsia="仿宋" w:hAnsi="仿宋"/>
          <w:b/>
          <w:color w:val="000000"/>
          <w:sz w:val="32"/>
          <w:szCs w:val="32"/>
        </w:rPr>
      </w:pPr>
      <w:r w:rsidRPr="00C7208E">
        <w:rPr>
          <w:rFonts w:ascii="仿宋" w:eastAsia="仿宋" w:hAnsi="仿宋" w:hint="eastAsia"/>
          <w:b/>
          <w:color w:val="000000"/>
          <w:sz w:val="32"/>
          <w:szCs w:val="32"/>
        </w:rPr>
        <w:lastRenderedPageBreak/>
        <w:t>（</w:t>
      </w:r>
      <w:r>
        <w:rPr>
          <w:rFonts w:ascii="仿宋" w:eastAsia="仿宋" w:hAnsi="仿宋" w:hint="eastAsia"/>
          <w:b/>
          <w:color w:val="000000"/>
          <w:sz w:val="32"/>
          <w:szCs w:val="32"/>
        </w:rPr>
        <w:t>三</w:t>
      </w:r>
      <w:r w:rsidRPr="00C7208E">
        <w:rPr>
          <w:rFonts w:ascii="仿宋" w:eastAsia="仿宋" w:hAnsi="仿宋" w:hint="eastAsia"/>
          <w:b/>
          <w:color w:val="000000"/>
          <w:sz w:val="32"/>
          <w:szCs w:val="32"/>
        </w:rPr>
        <w:t>）国有资产占有使用情况</w:t>
      </w:r>
      <w:bookmarkEnd w:id="42"/>
    </w:p>
    <w:p w:rsidR="00556098" w:rsidRPr="00C7208E" w:rsidRDefault="00556098" w:rsidP="00C7208E">
      <w:pPr>
        <w:autoSpaceDE w:val="0"/>
        <w:autoSpaceDN w:val="0"/>
        <w:spacing w:line="600" w:lineRule="exact"/>
        <w:ind w:firstLineChars="200" w:firstLine="640"/>
        <w:rPr>
          <w:rFonts w:ascii="仿宋" w:eastAsia="仿宋" w:hAnsi="仿宋"/>
          <w:color w:val="000000" w:themeColor="text1"/>
          <w:sz w:val="32"/>
          <w:szCs w:val="32"/>
        </w:rPr>
      </w:pPr>
      <w:r w:rsidRPr="00AB06D4">
        <w:rPr>
          <w:rFonts w:ascii="仿宋" w:eastAsia="仿宋" w:hAnsi="仿宋" w:hint="eastAsia"/>
          <w:color w:val="000000" w:themeColor="text1"/>
          <w:sz w:val="32"/>
          <w:szCs w:val="32"/>
        </w:rPr>
        <w:t>截至202</w:t>
      </w:r>
      <w:r w:rsidR="005716ED">
        <w:rPr>
          <w:rFonts w:ascii="仿宋" w:eastAsia="仿宋" w:hAnsi="仿宋" w:hint="eastAsia"/>
          <w:color w:val="000000" w:themeColor="text1"/>
          <w:sz w:val="32"/>
          <w:szCs w:val="32"/>
        </w:rPr>
        <w:t>2</w:t>
      </w:r>
      <w:r w:rsidRPr="00AB06D4">
        <w:rPr>
          <w:rFonts w:ascii="仿宋" w:eastAsia="仿宋" w:hAnsi="仿宋" w:hint="eastAsia"/>
          <w:color w:val="000000" w:themeColor="text1"/>
          <w:sz w:val="32"/>
          <w:szCs w:val="32"/>
        </w:rPr>
        <w:t>年12月31日，本单位共有车辆</w:t>
      </w:r>
      <w:r w:rsidR="00AB06D4" w:rsidRPr="009C506D">
        <w:rPr>
          <w:rFonts w:ascii="仿宋" w:eastAsia="仿宋" w:hAnsi="仿宋" w:hint="eastAsia"/>
          <w:sz w:val="32"/>
          <w:szCs w:val="32"/>
        </w:rPr>
        <w:t>17</w:t>
      </w:r>
      <w:r w:rsidRPr="00AB06D4">
        <w:rPr>
          <w:rFonts w:ascii="仿宋" w:eastAsia="仿宋" w:hAnsi="仿宋" w:hint="eastAsia"/>
          <w:color w:val="000000" w:themeColor="text1"/>
          <w:sz w:val="32"/>
          <w:szCs w:val="32"/>
        </w:rPr>
        <w:t>辆，</w:t>
      </w:r>
      <w:r w:rsidRPr="00C7208E">
        <w:rPr>
          <w:rFonts w:ascii="仿宋" w:eastAsia="仿宋" w:hAnsi="仿宋" w:hint="eastAsia"/>
          <w:color w:val="000000"/>
          <w:sz w:val="32"/>
          <w:szCs w:val="32"/>
        </w:rPr>
        <w:t>均为其他用车，</w:t>
      </w:r>
      <w:r w:rsidRPr="00C7208E">
        <w:rPr>
          <w:rFonts w:ascii="仿宋" w:eastAsia="仿宋" w:hAnsi="仿宋" w:hint="eastAsia"/>
          <w:color w:val="000000" w:themeColor="text1"/>
          <w:sz w:val="32"/>
          <w:szCs w:val="32"/>
        </w:rPr>
        <w:t>其他用车主要是用于野外业务用车。</w:t>
      </w:r>
      <w:r w:rsidR="00CC6E15">
        <w:rPr>
          <w:rFonts w:ascii="仿宋" w:eastAsia="仿宋" w:hAnsi="仿宋" w:hint="eastAsia"/>
          <w:color w:val="000000" w:themeColor="text1"/>
          <w:sz w:val="32"/>
          <w:szCs w:val="32"/>
        </w:rPr>
        <w:t>无</w:t>
      </w:r>
      <w:r w:rsidR="00E434DC">
        <w:rPr>
          <w:rFonts w:ascii="仿宋_GB2312" w:eastAsia="仿宋_GB2312" w:hint="eastAsia"/>
          <w:sz w:val="32"/>
          <w:szCs w:val="32"/>
        </w:rPr>
        <w:t>单价</w:t>
      </w:r>
      <w:r w:rsidR="00E434DC">
        <w:rPr>
          <w:rFonts w:ascii="仿宋_GB2312" w:eastAsia="仿宋_GB2312"/>
          <w:sz w:val="32"/>
          <w:szCs w:val="32"/>
        </w:rPr>
        <w:t>50</w:t>
      </w:r>
      <w:r w:rsidR="00E434DC">
        <w:rPr>
          <w:rFonts w:ascii="仿宋_GB2312" w:eastAsia="仿宋_GB2312" w:hint="eastAsia"/>
          <w:sz w:val="32"/>
          <w:szCs w:val="32"/>
        </w:rPr>
        <w:t>万元以上通用设备（不含车辆），</w:t>
      </w:r>
      <w:r w:rsidR="00842D64">
        <w:rPr>
          <w:rFonts w:ascii="仿宋_GB2312" w:eastAsia="仿宋_GB2312" w:hint="eastAsia"/>
          <w:sz w:val="32"/>
          <w:szCs w:val="32"/>
        </w:rPr>
        <w:t>无</w:t>
      </w:r>
      <w:r w:rsidR="00842D64" w:rsidRPr="00842D64">
        <w:rPr>
          <w:rFonts w:ascii="仿宋_GB2312" w:eastAsia="仿宋_GB2312" w:hint="eastAsia"/>
          <w:sz w:val="32"/>
          <w:szCs w:val="32"/>
        </w:rPr>
        <w:t>单价100万元（含）以上设备（不含车辆）</w:t>
      </w:r>
      <w:r w:rsidR="00E434DC">
        <w:rPr>
          <w:rFonts w:ascii="仿宋_GB2312" w:eastAsia="仿宋_GB2312" w:hint="eastAsia"/>
          <w:sz w:val="32"/>
          <w:szCs w:val="32"/>
        </w:rPr>
        <w:t>。</w:t>
      </w:r>
    </w:p>
    <w:p w:rsidR="00F6377D" w:rsidRDefault="00F6377D" w:rsidP="00F6377D">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666880" w:rsidRDefault="00666880" w:rsidP="00666880">
      <w:pPr>
        <w:pStyle w:val="a3"/>
        <w:spacing w:before="93"/>
        <w:ind w:firstLineChars="200" w:firstLine="640"/>
        <w:rPr>
          <w:highlight w:val="yellow"/>
        </w:rPr>
      </w:pPr>
      <w:r>
        <w:rPr>
          <w:rFonts w:hAnsi="仿宋_GB2312" w:cs="仿宋_GB2312" w:hint="eastAsia"/>
          <w:sz w:val="32"/>
          <w:szCs w:val="32"/>
        </w:rPr>
        <w:t>根据预算绩效管理要求，本单位在2022年度预算编制阶段，组织对</w:t>
      </w:r>
      <w:r w:rsidR="002A3820">
        <w:t>人员类项目</w:t>
      </w:r>
      <w:r w:rsidR="002A3820">
        <w:rPr>
          <w:rFonts w:hint="eastAsia"/>
        </w:rPr>
        <w:t>等</w:t>
      </w:r>
      <w:r w:rsidR="005E428F">
        <w:rPr>
          <w:rFonts w:hAnsi="仿宋_GB2312" w:cs="仿宋_GB2312" w:hint="eastAsia"/>
          <w:sz w:val="32"/>
          <w:szCs w:val="32"/>
        </w:rPr>
        <w:t>8</w:t>
      </w:r>
      <w:r>
        <w:rPr>
          <w:rFonts w:hAnsi="仿宋_GB2312" w:cs="仿宋_GB2312" w:hint="eastAsia"/>
          <w:sz w:val="32"/>
          <w:szCs w:val="32"/>
        </w:rPr>
        <w:t>个项目编制了绩效目标，预算执行过程中，选取</w:t>
      </w:r>
      <w:r w:rsidR="00F017BB">
        <w:rPr>
          <w:rFonts w:hAnsi="仿宋_GB2312" w:cs="仿宋_GB2312" w:hint="eastAsia"/>
          <w:sz w:val="32"/>
          <w:szCs w:val="32"/>
        </w:rPr>
        <w:t>8</w:t>
      </w:r>
      <w:r>
        <w:rPr>
          <w:rFonts w:hAnsi="仿宋_GB2312" w:cs="仿宋_GB2312" w:hint="eastAsia"/>
          <w:sz w:val="32"/>
          <w:szCs w:val="32"/>
        </w:rPr>
        <w:t>个项目开展绩效监控</w:t>
      </w:r>
      <w:r w:rsidR="00910D6C">
        <w:rPr>
          <w:rFonts w:hAnsi="仿宋_GB2312" w:cs="仿宋_GB2312" w:hint="eastAsia"/>
          <w:sz w:val="32"/>
          <w:szCs w:val="32"/>
        </w:rPr>
        <w:t>，</w:t>
      </w:r>
      <w:r>
        <w:rPr>
          <w:rFonts w:hAnsi="仿宋_GB2312" w:cs="仿宋_GB2312" w:hint="eastAsia"/>
          <w:sz w:val="32"/>
          <w:szCs w:val="32"/>
        </w:rPr>
        <w:t>组织对</w:t>
      </w:r>
      <w:r w:rsidR="00F017BB">
        <w:rPr>
          <w:rFonts w:hAnsi="仿宋_GB2312" w:cs="仿宋_GB2312" w:hint="eastAsia"/>
          <w:sz w:val="32"/>
          <w:szCs w:val="32"/>
        </w:rPr>
        <w:t>8</w:t>
      </w:r>
      <w:r>
        <w:rPr>
          <w:rFonts w:hAnsi="仿宋_GB2312" w:cs="仿宋_GB2312" w:hint="eastAsia"/>
          <w:sz w:val="32"/>
          <w:szCs w:val="32"/>
        </w:rPr>
        <w:t>个项目开展绩效自评。</w:t>
      </w:r>
    </w:p>
    <w:p w:rsidR="00DB3099" w:rsidRPr="00D00056"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Pr="002A3820"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6815CA" w:rsidRDefault="006815CA"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6815CA" w:rsidRDefault="006815CA"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6815CA" w:rsidRDefault="006815CA"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DB3099" w:rsidRDefault="00DB3099"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39547C" w:rsidRDefault="0039547C"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232D68" w:rsidRDefault="00232D68"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9952EA" w:rsidRPr="001F6337" w:rsidRDefault="009952EA" w:rsidP="00556098">
      <w:pPr>
        <w:autoSpaceDE w:val="0"/>
        <w:autoSpaceDN w:val="0"/>
        <w:adjustRightInd w:val="0"/>
        <w:spacing w:line="600" w:lineRule="exact"/>
        <w:ind w:firstLineChars="200" w:firstLine="640"/>
        <w:jc w:val="left"/>
        <w:rPr>
          <w:rFonts w:ascii="仿宋_GB2312" w:eastAsia="仿宋_GB2312"/>
          <w:color w:val="000000" w:themeColor="text1"/>
          <w:sz w:val="32"/>
          <w:szCs w:val="32"/>
        </w:rPr>
      </w:pPr>
    </w:p>
    <w:p w:rsidR="0039547C" w:rsidRDefault="0039547C" w:rsidP="0039547C">
      <w:pPr>
        <w:numPr>
          <w:ilvl w:val="0"/>
          <w:numId w:val="4"/>
        </w:numPr>
        <w:spacing w:line="600" w:lineRule="exact"/>
        <w:ind w:firstLineChars="150" w:firstLine="660"/>
        <w:jc w:val="center"/>
        <w:outlineLvl w:val="0"/>
        <w:rPr>
          <w:rStyle w:val="1Char"/>
          <w:rFonts w:ascii="黑体" w:eastAsia="黑体" w:hAnsi="黑体"/>
          <w:b w:val="0"/>
        </w:rPr>
      </w:pPr>
      <w:bookmarkStart w:id="45" w:name="_Toc15377225"/>
      <w:bookmarkStart w:id="46" w:name="_Toc15396613"/>
      <w:r>
        <w:rPr>
          <w:rFonts w:ascii="黑体" w:eastAsia="黑体" w:hAnsi="黑体" w:hint="eastAsia"/>
          <w:color w:val="000000"/>
          <w:sz w:val="44"/>
          <w:szCs w:val="44"/>
        </w:rPr>
        <w:lastRenderedPageBreak/>
        <w:t>名</w:t>
      </w:r>
      <w:r w:rsidRPr="0039547C">
        <w:rPr>
          <w:rStyle w:val="1Char"/>
          <w:rFonts w:ascii="黑体" w:eastAsia="黑体" w:hAnsi="黑体" w:hint="eastAsia"/>
          <w:b w:val="0"/>
        </w:rPr>
        <w:t>词解释</w:t>
      </w:r>
      <w:bookmarkEnd w:id="45"/>
      <w:bookmarkEnd w:id="46"/>
    </w:p>
    <w:p w:rsidR="00556098" w:rsidRDefault="00556098" w:rsidP="00556098">
      <w:pPr>
        <w:spacing w:line="600" w:lineRule="exact"/>
        <w:jc w:val="left"/>
        <w:rPr>
          <w:rFonts w:ascii="宋体"/>
          <w:b/>
          <w:color w:val="000000"/>
          <w:sz w:val="44"/>
          <w:szCs w:val="44"/>
        </w:rPr>
      </w:pP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sz w:val="32"/>
          <w:szCs w:val="32"/>
        </w:rPr>
        <w:t>1.</w:t>
      </w:r>
      <w:r w:rsidRPr="006C3162">
        <w:rPr>
          <w:rFonts w:hAnsi="仿宋" w:hint="eastAsia"/>
          <w:sz w:val="32"/>
          <w:szCs w:val="32"/>
        </w:rPr>
        <w:t>财政拨款收入：指单位从同级财政部门取得的财政预算资金。</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2</w:t>
      </w:r>
      <w:r w:rsidRPr="006C3162">
        <w:rPr>
          <w:rFonts w:hAnsi="仿宋"/>
          <w:sz w:val="32"/>
          <w:szCs w:val="32"/>
        </w:rPr>
        <w:t>.</w:t>
      </w:r>
      <w:r w:rsidRPr="006C3162">
        <w:rPr>
          <w:rFonts w:hAnsi="仿宋" w:hint="eastAsia"/>
          <w:sz w:val="32"/>
          <w:szCs w:val="32"/>
        </w:rPr>
        <w:t>经营收入：指事业单位在专业业务活动及其辅助活动之外开展非独立核算经营活动取得的收入。如</w:t>
      </w:r>
      <w:r w:rsidRPr="006C3162">
        <w:rPr>
          <w:rFonts w:hAnsi="仿宋"/>
          <w:bCs/>
          <w:sz w:val="32"/>
          <w:szCs w:val="32"/>
        </w:rPr>
        <w:t>本单位的市场项目</w:t>
      </w:r>
      <w:r w:rsidRPr="006C3162">
        <w:rPr>
          <w:rFonts w:hAnsi="仿宋" w:hint="eastAsia"/>
          <w:bCs/>
          <w:sz w:val="32"/>
          <w:szCs w:val="32"/>
        </w:rPr>
        <w:t>收入</w:t>
      </w:r>
      <w:r w:rsidRPr="006C3162">
        <w:rPr>
          <w:rFonts w:hAnsi="仿宋" w:hint="eastAsia"/>
          <w:sz w:val="32"/>
          <w:szCs w:val="32"/>
        </w:rPr>
        <w:t>等。</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3</w:t>
      </w:r>
      <w:r w:rsidRPr="006C3162">
        <w:rPr>
          <w:rFonts w:hAnsi="仿宋"/>
          <w:sz w:val="32"/>
          <w:szCs w:val="32"/>
        </w:rPr>
        <w:t>.</w:t>
      </w:r>
      <w:r w:rsidRPr="006C3162">
        <w:rPr>
          <w:rFonts w:hAnsi="仿宋" w:hint="eastAsia"/>
          <w:sz w:val="32"/>
          <w:szCs w:val="32"/>
        </w:rPr>
        <w:t>其他收入：指单位取得的除上述收入以外的各项收入。主要是物业管理</w:t>
      </w:r>
      <w:r w:rsidR="004F6704">
        <w:rPr>
          <w:rFonts w:hAnsi="仿宋" w:hint="eastAsia"/>
          <w:sz w:val="32"/>
          <w:szCs w:val="32"/>
        </w:rPr>
        <w:t>费</w:t>
      </w:r>
      <w:r w:rsidRPr="006C3162">
        <w:rPr>
          <w:rFonts w:hAnsi="仿宋" w:hint="eastAsia"/>
          <w:sz w:val="32"/>
          <w:szCs w:val="32"/>
        </w:rPr>
        <w:t>、银行利息收入</w:t>
      </w:r>
      <w:r w:rsidR="004F6704">
        <w:rPr>
          <w:rFonts w:hAnsi="仿宋" w:hint="eastAsia"/>
          <w:sz w:val="32"/>
          <w:szCs w:val="32"/>
        </w:rPr>
        <w:t>、</w:t>
      </w:r>
      <w:r w:rsidR="004F6704" w:rsidRPr="004F6704">
        <w:rPr>
          <w:rFonts w:hAnsi="仿宋" w:hint="eastAsia"/>
          <w:sz w:val="32"/>
          <w:szCs w:val="32"/>
        </w:rPr>
        <w:t>个税手续费返还收入</w:t>
      </w:r>
      <w:r w:rsidRPr="006C3162">
        <w:rPr>
          <w:rFonts w:hAnsi="仿宋" w:hint="eastAsia"/>
          <w:sz w:val="32"/>
          <w:szCs w:val="32"/>
        </w:rPr>
        <w:t>等。</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4</w:t>
      </w:r>
      <w:r w:rsidRPr="006C3162">
        <w:rPr>
          <w:rFonts w:hAnsi="仿宋"/>
          <w:sz w:val="32"/>
          <w:szCs w:val="32"/>
        </w:rPr>
        <w:t>.</w:t>
      </w:r>
      <w:r w:rsidRPr="006C3162">
        <w:rPr>
          <w:rFonts w:hAnsi="仿宋" w:hint="eastAsia"/>
          <w:sz w:val="32"/>
          <w:szCs w:val="32"/>
        </w:rPr>
        <w:t>使用非财政拨款结余：指事业单位使用以前年度积累的非财政拨款结余弥补当年收支差额的金额。</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5</w:t>
      </w:r>
      <w:r w:rsidRPr="006C3162">
        <w:rPr>
          <w:rFonts w:hAnsi="仿宋"/>
          <w:sz w:val="32"/>
          <w:szCs w:val="32"/>
        </w:rPr>
        <w:t>.</w:t>
      </w:r>
      <w:r w:rsidRPr="006C3162">
        <w:rPr>
          <w:rFonts w:hAnsi="仿宋" w:hint="eastAsia"/>
          <w:sz w:val="32"/>
          <w:szCs w:val="32"/>
        </w:rPr>
        <w:t>年初结转和结余：指以前年度尚未完成、结转到本年按有关规定继续使用的资金。</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6</w:t>
      </w:r>
      <w:r w:rsidRPr="006C3162">
        <w:rPr>
          <w:rFonts w:hAnsi="仿宋"/>
          <w:sz w:val="32"/>
          <w:szCs w:val="32"/>
        </w:rPr>
        <w:t>.</w:t>
      </w:r>
      <w:r w:rsidRPr="006C3162">
        <w:rPr>
          <w:rFonts w:hAnsi="仿宋" w:hint="eastAsia"/>
          <w:sz w:val="32"/>
          <w:szCs w:val="32"/>
        </w:rPr>
        <w:t>结余分配：指事业单位按照会计制度规定缴纳的所得税、提取的专用结余以及转入非财政拨款结余的金额等。</w:t>
      </w:r>
    </w:p>
    <w:p w:rsidR="00556098" w:rsidRPr="006C3162" w:rsidRDefault="004F6704" w:rsidP="00A9180B">
      <w:pPr>
        <w:pStyle w:val="Default"/>
        <w:adjustRightInd/>
        <w:spacing w:line="600" w:lineRule="exact"/>
        <w:ind w:firstLineChars="200" w:firstLine="640"/>
        <w:jc w:val="both"/>
        <w:rPr>
          <w:rFonts w:hAnsi="仿宋"/>
          <w:sz w:val="32"/>
          <w:szCs w:val="32"/>
        </w:rPr>
      </w:pPr>
      <w:r>
        <w:rPr>
          <w:rFonts w:hAnsi="仿宋" w:hint="eastAsia"/>
          <w:sz w:val="32"/>
          <w:szCs w:val="32"/>
        </w:rPr>
        <w:t>7</w:t>
      </w:r>
      <w:r w:rsidRPr="006C3162">
        <w:rPr>
          <w:rFonts w:hAnsi="仿宋"/>
          <w:sz w:val="32"/>
          <w:szCs w:val="32"/>
        </w:rPr>
        <w:t>.</w:t>
      </w:r>
      <w:r w:rsidR="00556098" w:rsidRPr="006C3162">
        <w:rPr>
          <w:rFonts w:hAnsi="仿宋" w:hint="eastAsia"/>
          <w:sz w:val="32"/>
          <w:szCs w:val="32"/>
        </w:rPr>
        <w:t>年末结转和结余：指单位按有关规定结转到下年或以后年度继续使用的资金。</w:t>
      </w:r>
    </w:p>
    <w:p w:rsidR="00556098" w:rsidRPr="004F6704" w:rsidRDefault="008D258D" w:rsidP="004F6704">
      <w:pPr>
        <w:autoSpaceDE w:val="0"/>
        <w:autoSpaceDN w:val="0"/>
        <w:adjustRightInd w:val="0"/>
        <w:jc w:val="left"/>
        <w:rPr>
          <w:rFonts w:ascii="仿宋" w:eastAsia="仿宋" w:hAnsi="仿宋" w:cs="仿宋_GB2312"/>
          <w:kern w:val="0"/>
          <w:sz w:val="32"/>
          <w:szCs w:val="32"/>
        </w:rPr>
      </w:pPr>
      <w:r>
        <w:rPr>
          <w:rFonts w:ascii="仿宋" w:eastAsia="仿宋" w:hAnsi="仿宋" w:hint="eastAsia"/>
          <w:color w:val="000000"/>
          <w:sz w:val="32"/>
          <w:szCs w:val="32"/>
        </w:rPr>
        <w:t xml:space="preserve">  </w:t>
      </w:r>
      <w:r w:rsidR="004F6704">
        <w:rPr>
          <w:rFonts w:ascii="仿宋" w:eastAsia="仿宋" w:hAnsi="仿宋" w:cs="仿宋_GB2312" w:hint="eastAsia"/>
          <w:kern w:val="0"/>
          <w:sz w:val="32"/>
          <w:szCs w:val="32"/>
        </w:rPr>
        <w:t xml:space="preserve">  </w:t>
      </w:r>
      <w:r w:rsidR="004F6704">
        <w:rPr>
          <w:rFonts w:ascii="仿宋" w:eastAsia="仿宋" w:hAnsi="仿宋" w:hint="eastAsia"/>
          <w:color w:val="000000"/>
          <w:sz w:val="32"/>
          <w:szCs w:val="32"/>
        </w:rPr>
        <w:t>8</w:t>
      </w:r>
      <w:r w:rsidR="00556098" w:rsidRPr="006C3162">
        <w:rPr>
          <w:rFonts w:ascii="仿宋" w:eastAsia="仿宋" w:hAnsi="仿宋"/>
          <w:color w:val="000000"/>
          <w:sz w:val="32"/>
          <w:szCs w:val="32"/>
        </w:rPr>
        <w:t>.</w:t>
      </w:r>
      <w:r w:rsidR="00556098" w:rsidRPr="006C3162">
        <w:rPr>
          <w:rFonts w:ascii="仿宋" w:eastAsia="仿宋" w:hAnsi="仿宋" w:hint="eastAsia"/>
          <w:color w:val="000000"/>
          <w:sz w:val="32"/>
          <w:szCs w:val="32"/>
        </w:rPr>
        <w:t>社会保障和就业（类）行政事业单位养老（款）事业单位离退休（项）：指事业单位开支的离退休经费。包括离休费、</w:t>
      </w:r>
      <w:r w:rsidR="000A4B19" w:rsidRPr="006C3162">
        <w:rPr>
          <w:rFonts w:ascii="仿宋" w:eastAsia="仿宋" w:hAnsi="仿宋" w:hint="eastAsia"/>
          <w:color w:val="000000"/>
          <w:sz w:val="32"/>
          <w:szCs w:val="32"/>
        </w:rPr>
        <w:t>离休干部医疗补助</w:t>
      </w:r>
      <w:r w:rsidR="000A4B19">
        <w:rPr>
          <w:rFonts w:ascii="仿宋" w:eastAsia="仿宋" w:hAnsi="仿宋" w:hint="eastAsia"/>
          <w:color w:val="000000"/>
          <w:sz w:val="32"/>
          <w:szCs w:val="32"/>
        </w:rPr>
        <w:t>、退休</w:t>
      </w:r>
      <w:r w:rsidR="000A4B19" w:rsidRPr="006C3162">
        <w:rPr>
          <w:rFonts w:ascii="仿宋" w:eastAsia="仿宋" w:hAnsi="仿宋" w:hint="eastAsia"/>
          <w:color w:val="000000"/>
          <w:sz w:val="32"/>
          <w:szCs w:val="32"/>
        </w:rPr>
        <w:t>人员</w:t>
      </w:r>
      <w:r w:rsidR="000A4B19">
        <w:rPr>
          <w:rFonts w:ascii="仿宋" w:eastAsia="仿宋" w:hAnsi="仿宋" w:hint="eastAsia"/>
          <w:color w:val="000000"/>
          <w:sz w:val="32"/>
          <w:szCs w:val="32"/>
        </w:rPr>
        <w:t>一次性</w:t>
      </w:r>
      <w:r w:rsidR="000A4B19" w:rsidRPr="006C3162">
        <w:rPr>
          <w:rFonts w:ascii="仿宋" w:eastAsia="仿宋" w:hAnsi="仿宋" w:hint="eastAsia"/>
          <w:color w:val="000000"/>
          <w:sz w:val="32"/>
          <w:szCs w:val="32"/>
        </w:rPr>
        <w:t>生活补贴</w:t>
      </w:r>
      <w:r w:rsidR="000A4B19">
        <w:rPr>
          <w:rFonts w:ascii="仿宋" w:eastAsia="仿宋" w:hAnsi="仿宋" w:hint="eastAsia"/>
          <w:color w:val="000000"/>
          <w:sz w:val="32"/>
          <w:szCs w:val="32"/>
        </w:rPr>
        <w:t>等</w:t>
      </w:r>
      <w:r w:rsidR="00556098" w:rsidRPr="006C3162">
        <w:rPr>
          <w:rFonts w:ascii="仿宋" w:eastAsia="仿宋" w:hAnsi="仿宋" w:hint="eastAsia"/>
          <w:color w:val="000000"/>
          <w:sz w:val="32"/>
          <w:szCs w:val="32"/>
        </w:rPr>
        <w:t>。</w:t>
      </w:r>
    </w:p>
    <w:p w:rsidR="00556098" w:rsidRPr="006C3162" w:rsidRDefault="000A4B19" w:rsidP="00A9180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9</w:t>
      </w:r>
      <w:r w:rsidR="00556098" w:rsidRPr="006C3162">
        <w:rPr>
          <w:rFonts w:ascii="仿宋" w:eastAsia="仿宋" w:hAnsi="仿宋" w:hint="eastAsia"/>
          <w:color w:val="000000"/>
          <w:sz w:val="32"/>
          <w:szCs w:val="32"/>
        </w:rPr>
        <w:t>.社会保障和就业（类）行政事业单位养老（款）机关事业单位基本养老保险缴费支出（项）：指事业单位实施养老保险制度由单位缴纳的基本养老保险费支出。</w:t>
      </w:r>
    </w:p>
    <w:p w:rsidR="00556098" w:rsidRPr="006C3162" w:rsidRDefault="000A4B19" w:rsidP="00A9180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10</w:t>
      </w:r>
      <w:r w:rsidR="00556098" w:rsidRPr="006C3162">
        <w:rPr>
          <w:rFonts w:ascii="仿宋" w:eastAsia="仿宋" w:hAnsi="仿宋" w:hint="eastAsia"/>
          <w:color w:val="000000"/>
          <w:sz w:val="32"/>
          <w:szCs w:val="32"/>
        </w:rPr>
        <w:t>.社会保障和就业（类）行政事业单位养老（款）事业单位职业年金缴费支出（项）：指事业单位实施养老保险制度由单位实际缴纳的职业年金支出。</w:t>
      </w:r>
    </w:p>
    <w:p w:rsidR="00556098" w:rsidRPr="006C3162" w:rsidRDefault="00556098" w:rsidP="00A9180B">
      <w:pPr>
        <w:spacing w:line="600" w:lineRule="exact"/>
        <w:ind w:firstLineChars="200" w:firstLine="640"/>
        <w:rPr>
          <w:rFonts w:ascii="仿宋" w:eastAsia="仿宋" w:hAnsi="仿宋"/>
          <w:color w:val="000000"/>
          <w:sz w:val="32"/>
          <w:szCs w:val="32"/>
        </w:rPr>
      </w:pPr>
      <w:r w:rsidRPr="006C3162">
        <w:rPr>
          <w:rFonts w:ascii="仿宋" w:eastAsia="仿宋" w:hAnsi="仿宋"/>
          <w:color w:val="000000"/>
          <w:sz w:val="32"/>
          <w:szCs w:val="32"/>
        </w:rPr>
        <w:t>1</w:t>
      </w:r>
      <w:r w:rsidR="005F19EA">
        <w:rPr>
          <w:rFonts w:ascii="仿宋" w:eastAsia="仿宋" w:hAnsi="仿宋" w:hint="eastAsia"/>
          <w:color w:val="000000"/>
          <w:sz w:val="32"/>
          <w:szCs w:val="32"/>
        </w:rPr>
        <w:t>1</w:t>
      </w:r>
      <w:r w:rsidRPr="006C3162">
        <w:rPr>
          <w:rFonts w:ascii="仿宋" w:eastAsia="仿宋" w:hAnsi="仿宋"/>
          <w:color w:val="000000"/>
          <w:sz w:val="32"/>
          <w:szCs w:val="32"/>
        </w:rPr>
        <w:t>.</w:t>
      </w:r>
      <w:r w:rsidRPr="006C3162">
        <w:rPr>
          <w:rFonts w:ascii="仿宋" w:eastAsia="仿宋" w:hAnsi="仿宋" w:hint="eastAsia"/>
          <w:color w:val="000000"/>
          <w:sz w:val="32"/>
          <w:szCs w:val="32"/>
        </w:rPr>
        <w:t>卫生健康（类）行政事业单位医疗（款）事业单位医疗支出（项）：指事业单位</w:t>
      </w:r>
      <w:r w:rsidR="00A975F4">
        <w:rPr>
          <w:rFonts w:ascii="仿宋" w:eastAsia="仿宋" w:hAnsi="仿宋" w:hint="eastAsia"/>
          <w:color w:val="000000"/>
          <w:sz w:val="32"/>
          <w:szCs w:val="32"/>
        </w:rPr>
        <w:t>参加</w:t>
      </w:r>
      <w:r w:rsidRPr="006C3162">
        <w:rPr>
          <w:rFonts w:ascii="仿宋" w:eastAsia="仿宋" w:hAnsi="仿宋" w:hint="eastAsia"/>
          <w:color w:val="000000"/>
          <w:sz w:val="32"/>
          <w:szCs w:val="32"/>
        </w:rPr>
        <w:t>基本医疗保险</w:t>
      </w:r>
      <w:r w:rsidR="00A975F4">
        <w:rPr>
          <w:rFonts w:ascii="仿宋" w:eastAsia="仿宋" w:hAnsi="仿宋" w:hint="eastAsia"/>
          <w:color w:val="000000"/>
          <w:sz w:val="32"/>
          <w:szCs w:val="32"/>
        </w:rPr>
        <w:t>的单位</w:t>
      </w:r>
      <w:r w:rsidRPr="006C3162">
        <w:rPr>
          <w:rFonts w:ascii="仿宋" w:eastAsia="仿宋" w:hAnsi="仿宋" w:hint="eastAsia"/>
          <w:color w:val="000000"/>
          <w:sz w:val="32"/>
          <w:szCs w:val="32"/>
        </w:rPr>
        <w:t>缴</w:t>
      </w:r>
      <w:r w:rsidR="00A975F4">
        <w:rPr>
          <w:rFonts w:ascii="仿宋" w:eastAsia="仿宋" w:hAnsi="仿宋" w:hint="eastAsia"/>
          <w:color w:val="000000"/>
          <w:sz w:val="32"/>
          <w:szCs w:val="32"/>
        </w:rPr>
        <w:t>纳的医疗保险费</w:t>
      </w:r>
      <w:r w:rsidRPr="006C3162">
        <w:rPr>
          <w:rFonts w:ascii="仿宋" w:eastAsia="仿宋" w:hAnsi="仿宋" w:hint="eastAsia"/>
          <w:color w:val="000000"/>
          <w:sz w:val="32"/>
          <w:szCs w:val="32"/>
        </w:rPr>
        <w:t>，如单位缴纳的职工医疗保险、大病医疗保险等。</w:t>
      </w:r>
    </w:p>
    <w:p w:rsidR="00556098" w:rsidRPr="006C3162" w:rsidRDefault="005F19EA" w:rsidP="00A9180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12</w:t>
      </w:r>
      <w:r w:rsidR="00556098" w:rsidRPr="006C3162">
        <w:rPr>
          <w:rFonts w:ascii="仿宋" w:eastAsia="仿宋" w:hAnsi="仿宋"/>
          <w:color w:val="000000"/>
          <w:sz w:val="32"/>
          <w:szCs w:val="32"/>
        </w:rPr>
        <w:t>.</w:t>
      </w:r>
      <w:r w:rsidR="00556098" w:rsidRPr="006C3162">
        <w:rPr>
          <w:rFonts w:ascii="仿宋" w:eastAsia="仿宋" w:hAnsi="仿宋" w:hint="eastAsia"/>
          <w:color w:val="000000"/>
          <w:sz w:val="32"/>
          <w:szCs w:val="32"/>
        </w:rPr>
        <w:t>住房保障（类）住房改革（款）住房公积金（项）：指事业单位按人力资源和社会保障部、财政部规定的基本工资和津补贴以及规定比例为职工缴纳的住房公积金。</w:t>
      </w:r>
    </w:p>
    <w:p w:rsidR="00556098" w:rsidRPr="006C3162" w:rsidRDefault="005F19EA" w:rsidP="00A9180B">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13</w:t>
      </w:r>
      <w:r w:rsidR="00556098" w:rsidRPr="006C3162">
        <w:rPr>
          <w:rFonts w:ascii="仿宋" w:eastAsia="仿宋" w:hAnsi="仿宋"/>
          <w:color w:val="000000"/>
          <w:sz w:val="32"/>
          <w:szCs w:val="32"/>
        </w:rPr>
        <w:t>.</w:t>
      </w:r>
      <w:r w:rsidR="00556098" w:rsidRPr="006C3162">
        <w:rPr>
          <w:rFonts w:ascii="仿宋" w:eastAsia="仿宋" w:hAnsi="仿宋" w:hint="eastAsia"/>
          <w:color w:val="000000"/>
          <w:sz w:val="32"/>
          <w:szCs w:val="32"/>
        </w:rPr>
        <w:t>资源勘探工业信息（类）资源勘探开发（款）其他资源勘探业支出（项）：</w:t>
      </w:r>
      <w:r w:rsidRPr="006C3162">
        <w:rPr>
          <w:rFonts w:ascii="仿宋" w:eastAsia="仿宋" w:hAnsi="仿宋" w:hint="eastAsia"/>
          <w:color w:val="000000"/>
          <w:sz w:val="32"/>
          <w:szCs w:val="32"/>
        </w:rPr>
        <w:t>指用于完成资源勘探业方面的</w:t>
      </w:r>
      <w:r w:rsidRPr="005F19EA">
        <w:rPr>
          <w:rFonts w:ascii="仿宋" w:eastAsia="仿宋" w:hAnsi="仿宋" w:hint="eastAsia"/>
          <w:color w:val="000000"/>
          <w:sz w:val="32"/>
          <w:szCs w:val="32"/>
        </w:rPr>
        <w:t>专业业务活动及其辅助活动</w:t>
      </w:r>
      <w:r w:rsidR="006D07F6">
        <w:rPr>
          <w:rFonts w:ascii="仿宋" w:eastAsia="仿宋" w:hAnsi="仿宋" w:hint="eastAsia"/>
          <w:color w:val="000000"/>
          <w:sz w:val="32"/>
          <w:szCs w:val="32"/>
        </w:rPr>
        <w:t>而</w:t>
      </w:r>
      <w:r w:rsidRPr="005F19EA">
        <w:rPr>
          <w:rFonts w:ascii="仿宋" w:eastAsia="仿宋" w:hAnsi="仿宋" w:hint="eastAsia"/>
          <w:color w:val="000000"/>
          <w:sz w:val="32"/>
          <w:szCs w:val="32"/>
        </w:rPr>
        <w:t>开展非独立核算经营活动</w:t>
      </w:r>
      <w:r w:rsidR="00556098" w:rsidRPr="006C3162">
        <w:rPr>
          <w:rFonts w:ascii="仿宋" w:eastAsia="仿宋" w:hAnsi="仿宋" w:hint="eastAsia"/>
          <w:color w:val="000000"/>
          <w:sz w:val="32"/>
          <w:szCs w:val="32"/>
        </w:rPr>
        <w:t>的支出。</w:t>
      </w:r>
    </w:p>
    <w:p w:rsidR="00556098" w:rsidRPr="006C3162" w:rsidRDefault="00556098" w:rsidP="00A9180B">
      <w:pPr>
        <w:spacing w:line="600" w:lineRule="exact"/>
        <w:ind w:firstLineChars="200" w:firstLine="640"/>
        <w:rPr>
          <w:rFonts w:ascii="仿宋" w:eastAsia="仿宋" w:hAnsi="仿宋"/>
          <w:color w:val="000000"/>
          <w:sz w:val="32"/>
          <w:szCs w:val="32"/>
        </w:rPr>
      </w:pPr>
      <w:r w:rsidRPr="006C3162">
        <w:rPr>
          <w:rFonts w:ascii="仿宋" w:eastAsia="仿宋" w:hAnsi="仿宋" w:hint="eastAsia"/>
          <w:color w:val="000000"/>
          <w:sz w:val="32"/>
          <w:szCs w:val="32"/>
        </w:rPr>
        <w:t>1</w:t>
      </w:r>
      <w:r w:rsidR="006D07F6">
        <w:rPr>
          <w:rFonts w:ascii="仿宋" w:eastAsia="仿宋" w:hAnsi="仿宋" w:hint="eastAsia"/>
          <w:color w:val="000000"/>
          <w:sz w:val="32"/>
          <w:szCs w:val="32"/>
        </w:rPr>
        <w:t>4</w:t>
      </w:r>
      <w:r w:rsidRPr="006C3162">
        <w:rPr>
          <w:rFonts w:ascii="仿宋" w:eastAsia="仿宋" w:hAnsi="仿宋"/>
          <w:color w:val="000000"/>
          <w:sz w:val="32"/>
          <w:szCs w:val="32"/>
        </w:rPr>
        <w:t>.</w:t>
      </w:r>
      <w:r w:rsidRPr="006C3162">
        <w:rPr>
          <w:rFonts w:ascii="仿宋" w:eastAsia="仿宋" w:hAnsi="仿宋" w:hint="eastAsia"/>
          <w:color w:val="000000"/>
          <w:sz w:val="32"/>
          <w:szCs w:val="32"/>
        </w:rPr>
        <w:t>基本支出：指为保障机构正常运转、完成日常工作任务而发生的人员支出和公用支出。</w:t>
      </w:r>
    </w:p>
    <w:p w:rsidR="00556098" w:rsidRPr="006C3162" w:rsidRDefault="00556098" w:rsidP="00A9180B">
      <w:pPr>
        <w:spacing w:line="600" w:lineRule="exact"/>
        <w:ind w:firstLineChars="200" w:firstLine="640"/>
        <w:rPr>
          <w:rFonts w:ascii="仿宋" w:eastAsia="仿宋" w:hAnsi="仿宋"/>
          <w:color w:val="000000"/>
          <w:sz w:val="32"/>
          <w:szCs w:val="32"/>
        </w:rPr>
      </w:pPr>
      <w:r w:rsidRPr="006C3162">
        <w:rPr>
          <w:rFonts w:ascii="仿宋" w:eastAsia="仿宋" w:hAnsi="仿宋" w:hint="eastAsia"/>
          <w:color w:val="000000"/>
          <w:sz w:val="32"/>
          <w:szCs w:val="32"/>
        </w:rPr>
        <w:t>17</w:t>
      </w:r>
      <w:r w:rsidRPr="006C3162">
        <w:rPr>
          <w:rFonts w:ascii="仿宋" w:eastAsia="仿宋" w:hAnsi="仿宋"/>
          <w:color w:val="000000"/>
          <w:sz w:val="32"/>
          <w:szCs w:val="32"/>
        </w:rPr>
        <w:t>.</w:t>
      </w:r>
      <w:r w:rsidRPr="006C3162">
        <w:rPr>
          <w:rFonts w:ascii="仿宋" w:eastAsia="仿宋" w:hAnsi="仿宋" w:hint="eastAsia"/>
          <w:color w:val="000000"/>
          <w:sz w:val="32"/>
          <w:szCs w:val="32"/>
        </w:rPr>
        <w:t>项目支出：指在基本支出之外为完成特定行政任务和事业发展目标所发生的支出。</w:t>
      </w:r>
    </w:p>
    <w:p w:rsidR="00556098" w:rsidRPr="006C3162" w:rsidRDefault="00556098" w:rsidP="00A9180B">
      <w:pPr>
        <w:spacing w:line="600" w:lineRule="exact"/>
        <w:ind w:firstLineChars="200" w:firstLine="640"/>
        <w:rPr>
          <w:rFonts w:ascii="仿宋" w:eastAsia="仿宋" w:hAnsi="仿宋"/>
          <w:color w:val="000000"/>
          <w:sz w:val="32"/>
          <w:szCs w:val="32"/>
        </w:rPr>
      </w:pPr>
      <w:r w:rsidRPr="006C3162">
        <w:rPr>
          <w:rFonts w:ascii="仿宋" w:eastAsia="仿宋" w:hAnsi="仿宋" w:hint="eastAsia"/>
          <w:color w:val="000000"/>
          <w:sz w:val="32"/>
          <w:szCs w:val="32"/>
        </w:rPr>
        <w:t>18</w:t>
      </w:r>
      <w:r w:rsidRPr="006C3162">
        <w:rPr>
          <w:rFonts w:ascii="仿宋" w:eastAsia="仿宋" w:hAnsi="仿宋"/>
          <w:color w:val="000000"/>
          <w:sz w:val="32"/>
          <w:szCs w:val="32"/>
        </w:rPr>
        <w:t>.</w:t>
      </w:r>
      <w:r w:rsidRPr="006C3162">
        <w:rPr>
          <w:rFonts w:ascii="仿宋" w:eastAsia="仿宋" w:hAnsi="仿宋" w:hint="eastAsia"/>
          <w:color w:val="000000"/>
          <w:sz w:val="32"/>
          <w:szCs w:val="32"/>
        </w:rPr>
        <w:t>经营支出：指事业单位在专业业务活动及其辅助活动之外开展非独立核算经营活动发生的支出。</w:t>
      </w:r>
    </w:p>
    <w:p w:rsidR="00556098" w:rsidRPr="006C3162" w:rsidRDefault="00556098" w:rsidP="00A9180B">
      <w:pPr>
        <w:pStyle w:val="Default"/>
        <w:adjustRightInd/>
        <w:spacing w:line="600" w:lineRule="exact"/>
        <w:ind w:firstLineChars="200" w:firstLine="640"/>
        <w:jc w:val="both"/>
        <w:rPr>
          <w:rFonts w:hAnsi="仿宋"/>
          <w:sz w:val="32"/>
          <w:szCs w:val="32"/>
        </w:rPr>
      </w:pPr>
      <w:r w:rsidRPr="006C3162">
        <w:rPr>
          <w:rFonts w:hAnsi="仿宋" w:hint="eastAsia"/>
          <w:sz w:val="32"/>
          <w:szCs w:val="32"/>
        </w:rPr>
        <w:t>19</w:t>
      </w:r>
      <w:r w:rsidRPr="006C3162">
        <w:rPr>
          <w:rFonts w:hAnsi="仿宋"/>
          <w:sz w:val="32"/>
          <w:szCs w:val="32"/>
        </w:rPr>
        <w:t>.</w:t>
      </w:r>
      <w:r w:rsidRPr="006C3162">
        <w:rPr>
          <w:rFonts w:hAnsi="仿宋"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w:t>
      </w:r>
      <w:r w:rsidRPr="006C3162">
        <w:rPr>
          <w:rFonts w:hAnsi="仿宋" w:hint="eastAsia"/>
          <w:sz w:val="32"/>
          <w:szCs w:val="32"/>
        </w:rPr>
        <w:lastRenderedPageBreak/>
        <w:t>公务用车购置及运行费反映单位公务用车车辆购置支出（含车辆购置税）及租用费、燃料费、维修费、过路过桥费、保险费等支出；公务接待费反映单位按规定开支的各类公务接待（含外宾接待）支出。</w:t>
      </w:r>
    </w:p>
    <w:p w:rsidR="00556098" w:rsidRPr="00BC04FD" w:rsidRDefault="00556098" w:rsidP="00BC04FD">
      <w:pPr>
        <w:ind w:firstLineChars="200" w:firstLine="602"/>
        <w:rPr>
          <w:rFonts w:ascii="仿宋" w:eastAsia="仿宋" w:hAnsi="仿宋"/>
          <w:b/>
          <w:color w:val="000000"/>
          <w:sz w:val="30"/>
          <w:szCs w:val="30"/>
        </w:rPr>
      </w:pPr>
    </w:p>
    <w:p w:rsidR="00512DCB" w:rsidRDefault="00512DCB" w:rsidP="00556098">
      <w:pPr>
        <w:spacing w:line="600" w:lineRule="exact"/>
        <w:jc w:val="center"/>
        <w:outlineLvl w:val="0"/>
        <w:rPr>
          <w:rFonts w:ascii="黑体" w:eastAsia="黑体" w:hAnsi="黑体"/>
          <w:color w:val="000000"/>
          <w:sz w:val="44"/>
          <w:szCs w:val="44"/>
        </w:rPr>
      </w:pPr>
      <w:bookmarkStart w:id="47" w:name="_Toc15396614"/>
      <w:bookmarkStart w:id="48" w:name="_Toc15377226"/>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512DCB" w:rsidRDefault="00512DCB" w:rsidP="00556098">
      <w:pPr>
        <w:spacing w:line="600" w:lineRule="exact"/>
        <w:jc w:val="center"/>
        <w:outlineLvl w:val="0"/>
        <w:rPr>
          <w:rFonts w:ascii="黑体" w:eastAsia="黑体" w:hAnsi="黑体"/>
          <w:color w:val="000000"/>
          <w:sz w:val="44"/>
          <w:szCs w:val="44"/>
        </w:rPr>
      </w:pPr>
    </w:p>
    <w:p w:rsidR="00232D68" w:rsidRDefault="00232D68" w:rsidP="00232D68">
      <w:pPr>
        <w:spacing w:line="600" w:lineRule="exact"/>
        <w:jc w:val="center"/>
        <w:outlineLvl w:val="0"/>
        <w:rPr>
          <w:rFonts w:ascii="宋体"/>
          <w:b/>
          <w:color w:val="000000"/>
          <w:sz w:val="44"/>
          <w:szCs w:val="44"/>
        </w:rPr>
      </w:pPr>
      <w:bookmarkStart w:id="49" w:name="_Toc15396618"/>
      <w:bookmarkEnd w:id="47"/>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232D68" w:rsidRDefault="00232D68" w:rsidP="00232D68">
      <w:pPr>
        <w:spacing w:line="600" w:lineRule="exact"/>
        <w:jc w:val="center"/>
        <w:outlineLvl w:val="0"/>
        <w:rPr>
          <w:rFonts w:ascii="宋体"/>
          <w:b/>
          <w:color w:val="000000"/>
          <w:sz w:val="44"/>
          <w:szCs w:val="44"/>
        </w:rPr>
      </w:pPr>
    </w:p>
    <w:p w:rsidR="00556098" w:rsidRDefault="00556098" w:rsidP="00556098">
      <w:pPr>
        <w:spacing w:line="600" w:lineRule="exact"/>
        <w:jc w:val="center"/>
        <w:outlineLvl w:val="0"/>
        <w:rPr>
          <w:rFonts w:ascii="仿宋" w:eastAsia="仿宋" w:hAnsi="仿宋"/>
          <w:color w:val="000000"/>
        </w:rPr>
      </w:pPr>
      <w:r>
        <w:rPr>
          <w:rFonts w:ascii="黑体" w:eastAsia="黑体" w:hAnsi="黑体" w:hint="eastAsia"/>
          <w:color w:val="000000"/>
          <w:sz w:val="44"/>
          <w:szCs w:val="44"/>
        </w:rPr>
        <w:lastRenderedPageBreak/>
        <w:t>第</w:t>
      </w:r>
      <w:r w:rsidR="000F19C2">
        <w:rPr>
          <w:rStyle w:val="1Char"/>
          <w:rFonts w:ascii="黑体" w:eastAsia="黑体" w:hAnsi="黑体" w:hint="eastAsia"/>
          <w:b w:val="0"/>
        </w:rPr>
        <w:t>四</w:t>
      </w:r>
      <w:r w:rsidRPr="001958B9">
        <w:rPr>
          <w:rStyle w:val="1Char"/>
          <w:rFonts w:ascii="黑体" w:eastAsia="黑体" w:hAnsi="黑体" w:hint="eastAsia"/>
          <w:b w:val="0"/>
        </w:rPr>
        <w:t>部分 附表</w:t>
      </w:r>
      <w:bookmarkStart w:id="50" w:name="_Toc15396619"/>
      <w:bookmarkEnd w:id="48"/>
      <w:bookmarkEnd w:id="49"/>
    </w:p>
    <w:p w:rsidR="00556098" w:rsidRDefault="00556098" w:rsidP="00556098">
      <w:pPr>
        <w:pStyle w:val="2"/>
        <w:rPr>
          <w:rFonts w:ascii="仿宋" w:eastAsia="仿宋" w:hAnsi="仿宋"/>
          <w:color w:val="000000"/>
        </w:rPr>
      </w:pPr>
      <w:r>
        <w:rPr>
          <w:rFonts w:ascii="仿宋" w:eastAsia="仿宋" w:hAnsi="仿宋" w:hint="eastAsia"/>
          <w:b w:val="0"/>
          <w:color w:val="000000"/>
        </w:rPr>
        <w:t>一、收</w:t>
      </w:r>
      <w:r>
        <w:rPr>
          <w:rStyle w:val="2Char"/>
          <w:rFonts w:ascii="仿宋" w:eastAsia="仿宋" w:hAnsi="仿宋" w:hint="eastAsia"/>
        </w:rPr>
        <w:t>入支出决算总表</w:t>
      </w:r>
      <w:bookmarkStart w:id="51" w:name="_GoBack"/>
      <w:bookmarkEnd w:id="50"/>
      <w:bookmarkEnd w:id="51"/>
    </w:p>
    <w:p w:rsidR="00556098" w:rsidRDefault="00556098" w:rsidP="00556098">
      <w:pPr>
        <w:pStyle w:val="2"/>
        <w:rPr>
          <w:rFonts w:ascii="仿宋" w:eastAsia="仿宋" w:hAnsi="仿宋"/>
          <w:color w:val="000000"/>
        </w:rPr>
      </w:pPr>
      <w:bookmarkStart w:id="52" w:name="_Toc15396620"/>
      <w:r>
        <w:rPr>
          <w:rFonts w:ascii="仿宋" w:eastAsia="仿宋" w:hAnsi="仿宋" w:hint="eastAsia"/>
          <w:b w:val="0"/>
          <w:color w:val="000000"/>
        </w:rPr>
        <w:t>二、收</w:t>
      </w:r>
      <w:r>
        <w:rPr>
          <w:rStyle w:val="2Char"/>
          <w:rFonts w:ascii="仿宋" w:eastAsia="仿宋" w:hAnsi="仿宋" w:hint="eastAsia"/>
        </w:rPr>
        <w:t>入决算表</w:t>
      </w:r>
      <w:bookmarkEnd w:id="52"/>
    </w:p>
    <w:p w:rsidR="00556098" w:rsidRDefault="00556098" w:rsidP="00556098">
      <w:pPr>
        <w:pStyle w:val="2"/>
        <w:rPr>
          <w:rFonts w:ascii="仿宋" w:eastAsia="仿宋" w:hAnsi="仿宋"/>
          <w:color w:val="000000"/>
        </w:rPr>
      </w:pPr>
      <w:bookmarkStart w:id="5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53"/>
    </w:p>
    <w:p w:rsidR="00556098" w:rsidRDefault="00556098" w:rsidP="00556098">
      <w:pPr>
        <w:pStyle w:val="2"/>
        <w:rPr>
          <w:rFonts w:ascii="仿宋" w:eastAsia="仿宋" w:hAnsi="仿宋"/>
          <w:b w:val="0"/>
          <w:color w:val="000000"/>
        </w:rPr>
      </w:pPr>
      <w:bookmarkStart w:id="5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54"/>
    </w:p>
    <w:p w:rsidR="00556098" w:rsidRDefault="00556098" w:rsidP="00556098">
      <w:pPr>
        <w:pStyle w:val="2"/>
        <w:rPr>
          <w:rStyle w:val="2Char"/>
          <w:rFonts w:ascii="仿宋" w:eastAsia="仿宋" w:hAnsi="仿宋"/>
        </w:rPr>
      </w:pPr>
      <w:bookmarkStart w:id="5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56" w:name="_Toc15396624"/>
      <w:bookmarkEnd w:id="55"/>
    </w:p>
    <w:p w:rsidR="00556098" w:rsidRDefault="00556098" w:rsidP="00556098">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56"/>
    </w:p>
    <w:p w:rsidR="00556098" w:rsidRDefault="00556098" w:rsidP="00556098">
      <w:pPr>
        <w:pStyle w:val="2"/>
        <w:rPr>
          <w:rFonts w:ascii="仿宋" w:eastAsia="仿宋" w:hAnsi="仿宋"/>
          <w:color w:val="000000"/>
        </w:rPr>
      </w:pPr>
      <w:bookmarkStart w:id="5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57"/>
    </w:p>
    <w:p w:rsidR="00556098" w:rsidRDefault="00556098" w:rsidP="00556098">
      <w:pPr>
        <w:pStyle w:val="2"/>
        <w:rPr>
          <w:rFonts w:ascii="仿宋" w:eastAsia="仿宋" w:hAnsi="仿宋"/>
          <w:color w:val="000000"/>
        </w:rPr>
      </w:pPr>
      <w:bookmarkStart w:id="5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w:t>
      </w:r>
      <w:r w:rsidR="000527F3">
        <w:rPr>
          <w:rStyle w:val="2Char"/>
          <w:rFonts w:ascii="仿宋" w:eastAsia="仿宋" w:hAnsi="仿宋" w:hint="eastAsia"/>
        </w:rPr>
        <w:t>明细</w:t>
      </w:r>
      <w:r>
        <w:rPr>
          <w:rStyle w:val="2Char"/>
          <w:rFonts w:ascii="仿宋" w:eastAsia="仿宋" w:hAnsi="仿宋" w:hint="eastAsia"/>
        </w:rPr>
        <w:t>决算表</w:t>
      </w:r>
      <w:bookmarkEnd w:id="58"/>
    </w:p>
    <w:p w:rsidR="00556098" w:rsidRDefault="00556098" w:rsidP="00556098">
      <w:pPr>
        <w:pStyle w:val="2"/>
        <w:rPr>
          <w:rFonts w:ascii="仿宋" w:eastAsia="仿宋" w:hAnsi="仿宋"/>
          <w:color w:val="000000"/>
        </w:rPr>
      </w:pPr>
      <w:bookmarkStart w:id="5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59"/>
    </w:p>
    <w:p w:rsidR="00556098" w:rsidRDefault="000527F3" w:rsidP="00556098">
      <w:pPr>
        <w:pStyle w:val="2"/>
        <w:rPr>
          <w:rFonts w:ascii="仿宋" w:eastAsia="仿宋" w:hAnsi="仿宋"/>
          <w:color w:val="000000"/>
        </w:rPr>
      </w:pPr>
      <w:bookmarkStart w:id="60" w:name="_Toc15396629"/>
      <w:r>
        <w:rPr>
          <w:rStyle w:val="2Char"/>
          <w:rFonts w:ascii="仿宋" w:eastAsia="仿宋" w:hAnsi="仿宋" w:hint="eastAsia"/>
        </w:rPr>
        <w:t>十</w:t>
      </w:r>
      <w:r w:rsidR="00556098">
        <w:rPr>
          <w:rStyle w:val="2Char"/>
          <w:rFonts w:ascii="仿宋" w:eastAsia="仿宋" w:hAnsi="仿宋" w:hint="eastAsia"/>
        </w:rPr>
        <w:t>、</w:t>
      </w:r>
      <w:r w:rsidR="00556098">
        <w:rPr>
          <w:rFonts w:ascii="仿宋" w:eastAsia="仿宋" w:hAnsi="仿宋" w:hint="eastAsia"/>
          <w:b w:val="0"/>
          <w:color w:val="000000"/>
        </w:rPr>
        <w:t>政</w:t>
      </w:r>
      <w:r w:rsidR="00556098">
        <w:rPr>
          <w:rStyle w:val="2Char"/>
          <w:rFonts w:ascii="仿宋" w:eastAsia="仿宋" w:hAnsi="仿宋" w:hint="eastAsia"/>
        </w:rPr>
        <w:t>府性基金预算财政拨款收入支出决算表</w:t>
      </w:r>
      <w:bookmarkEnd w:id="60"/>
    </w:p>
    <w:p w:rsidR="00556098" w:rsidRDefault="000527F3" w:rsidP="00556098">
      <w:pPr>
        <w:pStyle w:val="2"/>
        <w:rPr>
          <w:rStyle w:val="2Char"/>
          <w:rFonts w:ascii="仿宋" w:eastAsia="仿宋" w:hAnsi="仿宋"/>
        </w:rPr>
      </w:pPr>
      <w:bookmarkStart w:id="61" w:name="_Toc15396631"/>
      <w:r>
        <w:rPr>
          <w:rStyle w:val="2Char"/>
          <w:rFonts w:ascii="仿宋" w:eastAsia="仿宋" w:hAnsi="仿宋" w:hint="eastAsia"/>
        </w:rPr>
        <w:t>十一</w:t>
      </w:r>
      <w:r w:rsidR="00556098">
        <w:rPr>
          <w:rStyle w:val="2Char"/>
          <w:rFonts w:ascii="仿宋" w:eastAsia="仿宋" w:hAnsi="仿宋" w:hint="eastAsia"/>
        </w:rPr>
        <w:t>、</w:t>
      </w:r>
      <w:r w:rsidR="00556098">
        <w:rPr>
          <w:rFonts w:ascii="仿宋" w:eastAsia="仿宋" w:hAnsi="仿宋" w:hint="eastAsia"/>
          <w:b w:val="0"/>
          <w:color w:val="000000"/>
        </w:rPr>
        <w:t>国</w:t>
      </w:r>
      <w:r w:rsidR="00556098">
        <w:rPr>
          <w:rStyle w:val="2Char"/>
          <w:rFonts w:ascii="仿宋" w:eastAsia="仿宋" w:hAnsi="仿宋" w:hint="eastAsia"/>
        </w:rPr>
        <w:t>有资本经营预算财政拨款收入支出决算表</w:t>
      </w:r>
      <w:bookmarkEnd w:id="61"/>
    </w:p>
    <w:p w:rsidR="000527F3" w:rsidRPr="000527F3" w:rsidRDefault="00556098" w:rsidP="00556098">
      <w:pPr>
        <w:rPr>
          <w:rFonts w:ascii="仿宋" w:eastAsia="仿宋" w:hAnsi="仿宋" w:cstheme="majorBidi"/>
          <w:bCs/>
          <w:sz w:val="32"/>
          <w:szCs w:val="32"/>
        </w:rPr>
      </w:pPr>
      <w:r w:rsidRPr="001958B9">
        <w:rPr>
          <w:rStyle w:val="2Char"/>
          <w:rFonts w:ascii="仿宋" w:eastAsia="仿宋" w:hAnsi="仿宋" w:hint="eastAsia"/>
          <w:b w:val="0"/>
        </w:rPr>
        <w:t>十</w:t>
      </w:r>
      <w:r w:rsidR="000527F3">
        <w:rPr>
          <w:rStyle w:val="2Char"/>
          <w:rFonts w:ascii="仿宋" w:eastAsia="仿宋" w:hAnsi="仿宋" w:hint="eastAsia"/>
          <w:b w:val="0"/>
        </w:rPr>
        <w:t>二</w:t>
      </w:r>
      <w:r w:rsidRPr="001958B9">
        <w:rPr>
          <w:rStyle w:val="2Char"/>
          <w:rFonts w:ascii="仿宋" w:eastAsia="仿宋" w:hAnsi="仿宋" w:hint="eastAsia"/>
          <w:b w:val="0"/>
        </w:rPr>
        <w:t>、国有资本经营预算财政拨款支出决算表</w:t>
      </w:r>
    </w:p>
    <w:p w:rsidR="00665345" w:rsidRPr="000527F3" w:rsidRDefault="000527F3" w:rsidP="000527F3">
      <w:pPr>
        <w:pStyle w:val="2"/>
        <w:rPr>
          <w:rStyle w:val="2Char"/>
          <w:rFonts w:ascii="仿宋" w:eastAsia="仿宋" w:hAnsi="仿宋"/>
          <w:bCs/>
        </w:rPr>
      </w:pPr>
      <w:r w:rsidRPr="001958B9">
        <w:rPr>
          <w:rStyle w:val="2Char"/>
          <w:rFonts w:ascii="仿宋" w:eastAsia="仿宋" w:hAnsi="仿宋" w:hint="eastAsia"/>
        </w:rPr>
        <w:t>十</w:t>
      </w:r>
      <w:r>
        <w:rPr>
          <w:rStyle w:val="2Char"/>
          <w:rFonts w:ascii="仿宋" w:eastAsia="仿宋" w:hAnsi="仿宋" w:hint="eastAsia"/>
        </w:rPr>
        <w:t>三</w:t>
      </w:r>
      <w:r w:rsidRPr="001958B9">
        <w:rPr>
          <w:rStyle w:val="2Char"/>
          <w:rFonts w:ascii="仿宋" w:eastAsia="仿宋" w:hAnsi="仿宋" w:hint="eastAsia"/>
        </w:rPr>
        <w:t>、</w:t>
      </w:r>
      <w:r w:rsidRPr="000527F3">
        <w:rPr>
          <w:rStyle w:val="2Char"/>
          <w:rFonts w:ascii="仿宋" w:eastAsia="仿宋" w:hAnsi="仿宋" w:hint="eastAsia"/>
        </w:rPr>
        <w:t>财政拨款“三公”经费支出决算表</w:t>
      </w:r>
    </w:p>
    <w:sectPr w:rsidR="00665345" w:rsidRPr="000527F3" w:rsidSect="00FC67C6">
      <w:pgSz w:w="11906" w:h="16838"/>
      <w:pgMar w:top="0" w:right="1800" w:bottom="568"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634" w:rsidRDefault="005A1634" w:rsidP="00480AA1">
      <w:r>
        <w:separator/>
      </w:r>
    </w:p>
  </w:endnote>
  <w:endnote w:type="continuationSeparator" w:id="1">
    <w:p w:rsidR="005A1634" w:rsidRDefault="005A1634" w:rsidP="0048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Default="00681D5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81D5D" w:rsidRDefault="00796771">
        <w:pPr>
          <w:pStyle w:val="a5"/>
          <w:jc w:val="center"/>
        </w:pPr>
        <w:fldSimple w:instr="PAGE   \* MERGEFORMAT">
          <w:r w:rsidR="00473AFF" w:rsidRPr="00473AFF">
            <w:rPr>
              <w:noProof/>
              <w:lang w:val="zh-CN"/>
            </w:rPr>
            <w:t>14</w:t>
          </w:r>
        </w:fldSimple>
      </w:p>
    </w:sdtContent>
  </w:sdt>
  <w:p w:rsidR="00681D5D" w:rsidRDefault="00681D5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Default="00681D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634" w:rsidRDefault="005A1634" w:rsidP="00480AA1">
      <w:r>
        <w:separator/>
      </w:r>
    </w:p>
  </w:footnote>
  <w:footnote w:type="continuationSeparator" w:id="1">
    <w:p w:rsidR="005A1634" w:rsidRDefault="005A1634" w:rsidP="0048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Default="00681D5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Default="00681D5D">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D5D" w:rsidRPr="00A237CA" w:rsidRDefault="00681D5D" w:rsidP="00A237CA">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4D797F"/>
    <w:multiLevelType w:val="singleLevel"/>
    <w:tmpl w:val="C64D797F"/>
    <w:lvl w:ilvl="0">
      <w:start w:val="1"/>
      <w:numFmt w:val="chineseCounting"/>
      <w:suff w:val="nothing"/>
      <w:lvlText w:val="%1、"/>
      <w:lvlJc w:val="left"/>
      <w:rPr>
        <w:rFonts w:hint="eastAsia"/>
      </w:r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1272550B"/>
    <w:multiLevelType w:val="multilevel"/>
    <w:tmpl w:val="652EF584"/>
    <w:lvl w:ilvl="0">
      <w:start w:val="1"/>
      <w:numFmt w:val="japaneseCounting"/>
      <w:lvlText w:val="%1、"/>
      <w:lvlJc w:val="left"/>
      <w:pPr>
        <w:ind w:left="1360" w:hanging="720"/>
      </w:pPr>
      <w:rPr>
        <w:rFonts w:ascii="黑体" w:eastAsia="黑体" w:hAnsi="黑体"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2526BA5"/>
    <w:multiLevelType w:val="singleLevel"/>
    <w:tmpl w:val="CF652CEC"/>
    <w:lvl w:ilvl="0">
      <w:start w:val="9"/>
      <w:numFmt w:val="chineseCounting"/>
      <w:suff w:val="nothing"/>
      <w:lvlText w:val="%1、"/>
      <w:lvlJc w:val="left"/>
      <w:rPr>
        <w:rFonts w:hint="eastAsia"/>
      </w:rPr>
    </w:lvl>
  </w:abstractNum>
  <w:abstractNum w:abstractNumId="5">
    <w:nsid w:val="28590CCE"/>
    <w:multiLevelType w:val="hybridMultilevel"/>
    <w:tmpl w:val="C9F684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7">
    <w:nsid w:val="65E12BAE"/>
    <w:multiLevelType w:val="hybridMultilevel"/>
    <w:tmpl w:val="6DE423E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75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098"/>
    <w:rsid w:val="00032A71"/>
    <w:rsid w:val="00035589"/>
    <w:rsid w:val="000463C4"/>
    <w:rsid w:val="00050802"/>
    <w:rsid w:val="00050CE3"/>
    <w:rsid w:val="000527F3"/>
    <w:rsid w:val="00056327"/>
    <w:rsid w:val="000727FF"/>
    <w:rsid w:val="00083A52"/>
    <w:rsid w:val="00092F21"/>
    <w:rsid w:val="000A1C2D"/>
    <w:rsid w:val="000A4B19"/>
    <w:rsid w:val="000A4C2A"/>
    <w:rsid w:val="000A5C79"/>
    <w:rsid w:val="000B0B7C"/>
    <w:rsid w:val="000C0651"/>
    <w:rsid w:val="000C37D5"/>
    <w:rsid w:val="000C4E13"/>
    <w:rsid w:val="000C6FF1"/>
    <w:rsid w:val="000D612C"/>
    <w:rsid w:val="000F19C2"/>
    <w:rsid w:val="000F312E"/>
    <w:rsid w:val="00112302"/>
    <w:rsid w:val="001174D8"/>
    <w:rsid w:val="001264D9"/>
    <w:rsid w:val="00131C5A"/>
    <w:rsid w:val="00134D58"/>
    <w:rsid w:val="001354EC"/>
    <w:rsid w:val="00135BD1"/>
    <w:rsid w:val="0013788E"/>
    <w:rsid w:val="00137E0C"/>
    <w:rsid w:val="00155073"/>
    <w:rsid w:val="001567A7"/>
    <w:rsid w:val="00167A73"/>
    <w:rsid w:val="001739A6"/>
    <w:rsid w:val="00193205"/>
    <w:rsid w:val="001958B9"/>
    <w:rsid w:val="001A0DBF"/>
    <w:rsid w:val="001B4ACF"/>
    <w:rsid w:val="001C12AD"/>
    <w:rsid w:val="001C7BAB"/>
    <w:rsid w:val="001D2EF3"/>
    <w:rsid w:val="001D6EB0"/>
    <w:rsid w:val="001E046C"/>
    <w:rsid w:val="001E4A82"/>
    <w:rsid w:val="001F33BC"/>
    <w:rsid w:val="001F6337"/>
    <w:rsid w:val="001F65E4"/>
    <w:rsid w:val="00210471"/>
    <w:rsid w:val="0021763B"/>
    <w:rsid w:val="0022235D"/>
    <w:rsid w:val="00224D8C"/>
    <w:rsid w:val="00225023"/>
    <w:rsid w:val="00232D68"/>
    <w:rsid w:val="002472EF"/>
    <w:rsid w:val="002629A5"/>
    <w:rsid w:val="00270A71"/>
    <w:rsid w:val="00277AF5"/>
    <w:rsid w:val="00284043"/>
    <w:rsid w:val="0029166B"/>
    <w:rsid w:val="002A20AF"/>
    <w:rsid w:val="002A3820"/>
    <w:rsid w:val="002A4EE2"/>
    <w:rsid w:val="002A6025"/>
    <w:rsid w:val="002B28D2"/>
    <w:rsid w:val="002B37A9"/>
    <w:rsid w:val="002B76F6"/>
    <w:rsid w:val="002E0F6F"/>
    <w:rsid w:val="002E502E"/>
    <w:rsid w:val="002F08C8"/>
    <w:rsid w:val="0031066D"/>
    <w:rsid w:val="0031123F"/>
    <w:rsid w:val="003128CC"/>
    <w:rsid w:val="00322513"/>
    <w:rsid w:val="003319B1"/>
    <w:rsid w:val="00334FC1"/>
    <w:rsid w:val="00345077"/>
    <w:rsid w:val="00361B9C"/>
    <w:rsid w:val="00362909"/>
    <w:rsid w:val="0036486D"/>
    <w:rsid w:val="00370ED0"/>
    <w:rsid w:val="00384FE3"/>
    <w:rsid w:val="0039547C"/>
    <w:rsid w:val="00395F38"/>
    <w:rsid w:val="003A5C1A"/>
    <w:rsid w:val="003B4E2E"/>
    <w:rsid w:val="003C5D7B"/>
    <w:rsid w:val="003E2BD9"/>
    <w:rsid w:val="003F6766"/>
    <w:rsid w:val="00413CF9"/>
    <w:rsid w:val="00413D36"/>
    <w:rsid w:val="0043269A"/>
    <w:rsid w:val="00432782"/>
    <w:rsid w:val="004377F4"/>
    <w:rsid w:val="0044040A"/>
    <w:rsid w:val="004423EC"/>
    <w:rsid w:val="0044295A"/>
    <w:rsid w:val="00446C76"/>
    <w:rsid w:val="00447BF8"/>
    <w:rsid w:val="00473AFF"/>
    <w:rsid w:val="004740E4"/>
    <w:rsid w:val="00480AA1"/>
    <w:rsid w:val="00481D28"/>
    <w:rsid w:val="00481F4B"/>
    <w:rsid w:val="004838DB"/>
    <w:rsid w:val="004936C1"/>
    <w:rsid w:val="004938F4"/>
    <w:rsid w:val="004946FF"/>
    <w:rsid w:val="004A02E1"/>
    <w:rsid w:val="004A11F9"/>
    <w:rsid w:val="004B1CFD"/>
    <w:rsid w:val="004B5B90"/>
    <w:rsid w:val="004B64F7"/>
    <w:rsid w:val="004C145D"/>
    <w:rsid w:val="004C4678"/>
    <w:rsid w:val="004E2E9D"/>
    <w:rsid w:val="004F1B42"/>
    <w:rsid w:val="004F20FF"/>
    <w:rsid w:val="004F3C75"/>
    <w:rsid w:val="004F6704"/>
    <w:rsid w:val="004F6FAD"/>
    <w:rsid w:val="005008EC"/>
    <w:rsid w:val="00503822"/>
    <w:rsid w:val="00506CE0"/>
    <w:rsid w:val="005070B0"/>
    <w:rsid w:val="00512DCB"/>
    <w:rsid w:val="00527366"/>
    <w:rsid w:val="005355E4"/>
    <w:rsid w:val="0054186B"/>
    <w:rsid w:val="00546508"/>
    <w:rsid w:val="00555A30"/>
    <w:rsid w:val="00556098"/>
    <w:rsid w:val="00567578"/>
    <w:rsid w:val="005716ED"/>
    <w:rsid w:val="0059090A"/>
    <w:rsid w:val="00596D60"/>
    <w:rsid w:val="005A1634"/>
    <w:rsid w:val="005B4412"/>
    <w:rsid w:val="005C1AD7"/>
    <w:rsid w:val="005C22EA"/>
    <w:rsid w:val="005C5BDC"/>
    <w:rsid w:val="005C6628"/>
    <w:rsid w:val="005D0A84"/>
    <w:rsid w:val="005D1422"/>
    <w:rsid w:val="005D175A"/>
    <w:rsid w:val="005D3F83"/>
    <w:rsid w:val="005E428F"/>
    <w:rsid w:val="005E54CC"/>
    <w:rsid w:val="005E64B3"/>
    <w:rsid w:val="005F0F63"/>
    <w:rsid w:val="005F19EA"/>
    <w:rsid w:val="00604314"/>
    <w:rsid w:val="006204ED"/>
    <w:rsid w:val="006231CA"/>
    <w:rsid w:val="00645DE4"/>
    <w:rsid w:val="00665345"/>
    <w:rsid w:val="00666880"/>
    <w:rsid w:val="00670EA0"/>
    <w:rsid w:val="0067244B"/>
    <w:rsid w:val="00675511"/>
    <w:rsid w:val="006815CA"/>
    <w:rsid w:val="00681D5D"/>
    <w:rsid w:val="0068488B"/>
    <w:rsid w:val="006903BD"/>
    <w:rsid w:val="00696324"/>
    <w:rsid w:val="006C123C"/>
    <w:rsid w:val="006C3162"/>
    <w:rsid w:val="006C6BBF"/>
    <w:rsid w:val="006D0771"/>
    <w:rsid w:val="006D07F6"/>
    <w:rsid w:val="006D0AA1"/>
    <w:rsid w:val="006E1039"/>
    <w:rsid w:val="00704AA0"/>
    <w:rsid w:val="00707AF2"/>
    <w:rsid w:val="007142D3"/>
    <w:rsid w:val="00724786"/>
    <w:rsid w:val="007257E4"/>
    <w:rsid w:val="007506A8"/>
    <w:rsid w:val="00770648"/>
    <w:rsid w:val="00784B0D"/>
    <w:rsid w:val="00787CA0"/>
    <w:rsid w:val="00790663"/>
    <w:rsid w:val="00796771"/>
    <w:rsid w:val="007D0349"/>
    <w:rsid w:val="007E1521"/>
    <w:rsid w:val="007F4508"/>
    <w:rsid w:val="007F492A"/>
    <w:rsid w:val="0080498B"/>
    <w:rsid w:val="00842D64"/>
    <w:rsid w:val="00845521"/>
    <w:rsid w:val="008458F4"/>
    <w:rsid w:val="008459D3"/>
    <w:rsid w:val="00847ACF"/>
    <w:rsid w:val="008510DE"/>
    <w:rsid w:val="00851C09"/>
    <w:rsid w:val="008550A7"/>
    <w:rsid w:val="00867023"/>
    <w:rsid w:val="008672F7"/>
    <w:rsid w:val="00875198"/>
    <w:rsid w:val="008975BC"/>
    <w:rsid w:val="008A1D5E"/>
    <w:rsid w:val="008A25C1"/>
    <w:rsid w:val="008A2C48"/>
    <w:rsid w:val="008A4B8D"/>
    <w:rsid w:val="008A7EB2"/>
    <w:rsid w:val="008B3F25"/>
    <w:rsid w:val="008B5F75"/>
    <w:rsid w:val="008C0EBD"/>
    <w:rsid w:val="008C4868"/>
    <w:rsid w:val="008C7E25"/>
    <w:rsid w:val="008D172E"/>
    <w:rsid w:val="008D258D"/>
    <w:rsid w:val="009002B9"/>
    <w:rsid w:val="009075D7"/>
    <w:rsid w:val="00910D6C"/>
    <w:rsid w:val="00924FED"/>
    <w:rsid w:val="00933752"/>
    <w:rsid w:val="00943B4A"/>
    <w:rsid w:val="0094404E"/>
    <w:rsid w:val="00945CD9"/>
    <w:rsid w:val="00947CF7"/>
    <w:rsid w:val="00975FF2"/>
    <w:rsid w:val="0097725B"/>
    <w:rsid w:val="009810F0"/>
    <w:rsid w:val="0098374C"/>
    <w:rsid w:val="009865D8"/>
    <w:rsid w:val="00994E35"/>
    <w:rsid w:val="009952EA"/>
    <w:rsid w:val="009B4F0C"/>
    <w:rsid w:val="009B5DF8"/>
    <w:rsid w:val="009B726C"/>
    <w:rsid w:val="009C091D"/>
    <w:rsid w:val="009C506D"/>
    <w:rsid w:val="009D3420"/>
    <w:rsid w:val="009D5677"/>
    <w:rsid w:val="009D6F63"/>
    <w:rsid w:val="009E282C"/>
    <w:rsid w:val="009F1AD3"/>
    <w:rsid w:val="009F700C"/>
    <w:rsid w:val="00A00829"/>
    <w:rsid w:val="00A237CA"/>
    <w:rsid w:val="00A61E47"/>
    <w:rsid w:val="00A6459D"/>
    <w:rsid w:val="00A673A2"/>
    <w:rsid w:val="00A70B5C"/>
    <w:rsid w:val="00A72A61"/>
    <w:rsid w:val="00A8051B"/>
    <w:rsid w:val="00A841EE"/>
    <w:rsid w:val="00A84C46"/>
    <w:rsid w:val="00A9180B"/>
    <w:rsid w:val="00A975F4"/>
    <w:rsid w:val="00AB06D4"/>
    <w:rsid w:val="00AB2935"/>
    <w:rsid w:val="00AB44DB"/>
    <w:rsid w:val="00B01382"/>
    <w:rsid w:val="00B01556"/>
    <w:rsid w:val="00B12086"/>
    <w:rsid w:val="00B12A02"/>
    <w:rsid w:val="00B24630"/>
    <w:rsid w:val="00B33678"/>
    <w:rsid w:val="00B41E2E"/>
    <w:rsid w:val="00B42C6E"/>
    <w:rsid w:val="00B5276C"/>
    <w:rsid w:val="00B601B9"/>
    <w:rsid w:val="00B6734B"/>
    <w:rsid w:val="00B81669"/>
    <w:rsid w:val="00B87C97"/>
    <w:rsid w:val="00B90F80"/>
    <w:rsid w:val="00BA3D38"/>
    <w:rsid w:val="00BB2685"/>
    <w:rsid w:val="00BC04FD"/>
    <w:rsid w:val="00BC1E50"/>
    <w:rsid w:val="00BC2225"/>
    <w:rsid w:val="00BC4B9E"/>
    <w:rsid w:val="00BD6CED"/>
    <w:rsid w:val="00BE71C6"/>
    <w:rsid w:val="00C11379"/>
    <w:rsid w:val="00C11D1F"/>
    <w:rsid w:val="00C20F48"/>
    <w:rsid w:val="00C314FD"/>
    <w:rsid w:val="00C548CD"/>
    <w:rsid w:val="00C627A6"/>
    <w:rsid w:val="00C63650"/>
    <w:rsid w:val="00C64DE0"/>
    <w:rsid w:val="00C70D1A"/>
    <w:rsid w:val="00C7208E"/>
    <w:rsid w:val="00C80E52"/>
    <w:rsid w:val="00C94ECB"/>
    <w:rsid w:val="00C95B15"/>
    <w:rsid w:val="00C960BC"/>
    <w:rsid w:val="00CB0AB1"/>
    <w:rsid w:val="00CB340D"/>
    <w:rsid w:val="00CC2CD8"/>
    <w:rsid w:val="00CC45B8"/>
    <w:rsid w:val="00CC6E15"/>
    <w:rsid w:val="00CD7F03"/>
    <w:rsid w:val="00CF2C61"/>
    <w:rsid w:val="00D00056"/>
    <w:rsid w:val="00D02B3D"/>
    <w:rsid w:val="00D06140"/>
    <w:rsid w:val="00D12AD4"/>
    <w:rsid w:val="00D15F1A"/>
    <w:rsid w:val="00D21594"/>
    <w:rsid w:val="00D30C08"/>
    <w:rsid w:val="00D34C32"/>
    <w:rsid w:val="00D572E5"/>
    <w:rsid w:val="00D61CC7"/>
    <w:rsid w:val="00D6262C"/>
    <w:rsid w:val="00D62DBB"/>
    <w:rsid w:val="00D63404"/>
    <w:rsid w:val="00D665B0"/>
    <w:rsid w:val="00D70D0C"/>
    <w:rsid w:val="00D70D73"/>
    <w:rsid w:val="00D73BA8"/>
    <w:rsid w:val="00D75D37"/>
    <w:rsid w:val="00D81003"/>
    <w:rsid w:val="00D943F6"/>
    <w:rsid w:val="00D95892"/>
    <w:rsid w:val="00D9771F"/>
    <w:rsid w:val="00DA09BB"/>
    <w:rsid w:val="00DA1F02"/>
    <w:rsid w:val="00DA3081"/>
    <w:rsid w:val="00DB0394"/>
    <w:rsid w:val="00DB3099"/>
    <w:rsid w:val="00DC3DF2"/>
    <w:rsid w:val="00DC6927"/>
    <w:rsid w:val="00DD2657"/>
    <w:rsid w:val="00DE752D"/>
    <w:rsid w:val="00E22F2E"/>
    <w:rsid w:val="00E2407A"/>
    <w:rsid w:val="00E26C02"/>
    <w:rsid w:val="00E40899"/>
    <w:rsid w:val="00E434DC"/>
    <w:rsid w:val="00E4784C"/>
    <w:rsid w:val="00E502D9"/>
    <w:rsid w:val="00E5381E"/>
    <w:rsid w:val="00E757DC"/>
    <w:rsid w:val="00E8208A"/>
    <w:rsid w:val="00E82F31"/>
    <w:rsid w:val="00E83732"/>
    <w:rsid w:val="00E850DD"/>
    <w:rsid w:val="00E96819"/>
    <w:rsid w:val="00EA332C"/>
    <w:rsid w:val="00EA398D"/>
    <w:rsid w:val="00EC0875"/>
    <w:rsid w:val="00EC4EF6"/>
    <w:rsid w:val="00EC601D"/>
    <w:rsid w:val="00ED1DC1"/>
    <w:rsid w:val="00ED21FB"/>
    <w:rsid w:val="00ED2BCD"/>
    <w:rsid w:val="00EE5C91"/>
    <w:rsid w:val="00EE7878"/>
    <w:rsid w:val="00EF6634"/>
    <w:rsid w:val="00F017BB"/>
    <w:rsid w:val="00F15F74"/>
    <w:rsid w:val="00F2326C"/>
    <w:rsid w:val="00F321AB"/>
    <w:rsid w:val="00F34FA3"/>
    <w:rsid w:val="00F35A82"/>
    <w:rsid w:val="00F44C14"/>
    <w:rsid w:val="00F44C31"/>
    <w:rsid w:val="00F46C32"/>
    <w:rsid w:val="00F61BDC"/>
    <w:rsid w:val="00F6377D"/>
    <w:rsid w:val="00F7239C"/>
    <w:rsid w:val="00F776C4"/>
    <w:rsid w:val="00F8495A"/>
    <w:rsid w:val="00F859B8"/>
    <w:rsid w:val="00F86880"/>
    <w:rsid w:val="00F877E2"/>
    <w:rsid w:val="00F915DC"/>
    <w:rsid w:val="00FA06A2"/>
    <w:rsid w:val="00FB4BF5"/>
    <w:rsid w:val="00FC5109"/>
    <w:rsid w:val="00FC67C6"/>
    <w:rsid w:val="00FE2263"/>
    <w:rsid w:val="00FE44FF"/>
    <w:rsid w:val="00FF0EEA"/>
    <w:rsid w:val="00FF2779"/>
    <w:rsid w:val="00FF433B"/>
    <w:rsid w:val="00FF6F13"/>
    <w:rsid w:val="00FF7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098"/>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5609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5609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5609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556098"/>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556098"/>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556098"/>
    <w:rPr>
      <w:rFonts w:ascii="Times New Roman" w:eastAsia="宋体" w:hAnsi="Times New Roman" w:cs="Times New Roman"/>
      <w:b/>
      <w:bCs/>
      <w:sz w:val="32"/>
      <w:szCs w:val="32"/>
    </w:rPr>
  </w:style>
  <w:style w:type="paragraph" w:styleId="a3">
    <w:name w:val="Body Text"/>
    <w:basedOn w:val="a"/>
    <w:link w:val="Char"/>
    <w:uiPriority w:val="99"/>
    <w:qFormat/>
    <w:rsid w:val="00556098"/>
    <w:pPr>
      <w:spacing w:beforeLines="30"/>
    </w:pPr>
    <w:rPr>
      <w:rFonts w:ascii="仿宋_GB2312" w:eastAsia="仿宋_GB2312"/>
      <w:kern w:val="0"/>
      <w:sz w:val="30"/>
    </w:rPr>
  </w:style>
  <w:style w:type="character" w:customStyle="1" w:styleId="Char">
    <w:name w:val="正文文本 Char"/>
    <w:basedOn w:val="a0"/>
    <w:link w:val="a3"/>
    <w:uiPriority w:val="99"/>
    <w:qFormat/>
    <w:rsid w:val="00556098"/>
    <w:rPr>
      <w:rFonts w:ascii="仿宋_GB2312" w:eastAsia="仿宋_GB2312" w:hAnsi="Times New Roman" w:cs="Times New Roman"/>
      <w:kern w:val="0"/>
      <w:sz w:val="30"/>
      <w:szCs w:val="24"/>
    </w:rPr>
  </w:style>
  <w:style w:type="paragraph" w:styleId="30">
    <w:name w:val="toc 3"/>
    <w:basedOn w:val="a"/>
    <w:next w:val="a"/>
    <w:uiPriority w:val="39"/>
    <w:unhideWhenUsed/>
    <w:qFormat/>
    <w:rsid w:val="00556098"/>
    <w:pPr>
      <w:tabs>
        <w:tab w:val="right" w:leader="dot" w:pos="8296"/>
      </w:tabs>
      <w:ind w:leftChars="400" w:left="840"/>
    </w:pPr>
  </w:style>
  <w:style w:type="paragraph" w:styleId="a4">
    <w:name w:val="Balloon Text"/>
    <w:basedOn w:val="a"/>
    <w:link w:val="Char0"/>
    <w:uiPriority w:val="99"/>
    <w:semiHidden/>
    <w:unhideWhenUsed/>
    <w:qFormat/>
    <w:rsid w:val="00556098"/>
    <w:rPr>
      <w:sz w:val="18"/>
      <w:szCs w:val="18"/>
    </w:rPr>
  </w:style>
  <w:style w:type="character" w:customStyle="1" w:styleId="Char0">
    <w:name w:val="批注框文本 Char"/>
    <w:basedOn w:val="a0"/>
    <w:link w:val="a4"/>
    <w:uiPriority w:val="99"/>
    <w:semiHidden/>
    <w:qFormat/>
    <w:rsid w:val="00556098"/>
    <w:rPr>
      <w:rFonts w:ascii="Times New Roman" w:eastAsia="宋体" w:hAnsi="Times New Roman" w:cs="Times New Roman"/>
      <w:sz w:val="18"/>
      <w:szCs w:val="18"/>
    </w:rPr>
  </w:style>
  <w:style w:type="paragraph" w:styleId="a5">
    <w:name w:val="footer"/>
    <w:basedOn w:val="a"/>
    <w:link w:val="Char1"/>
    <w:uiPriority w:val="99"/>
    <w:qFormat/>
    <w:rsid w:val="00556098"/>
    <w:pPr>
      <w:tabs>
        <w:tab w:val="center" w:pos="4153"/>
        <w:tab w:val="right" w:pos="8306"/>
      </w:tabs>
      <w:snapToGrid w:val="0"/>
      <w:jc w:val="left"/>
    </w:pPr>
    <w:rPr>
      <w:rFonts w:ascii="Calibri" w:hAnsi="Calibri"/>
      <w:kern w:val="0"/>
      <w:sz w:val="18"/>
      <w:szCs w:val="18"/>
    </w:rPr>
  </w:style>
  <w:style w:type="character" w:customStyle="1" w:styleId="Char1">
    <w:name w:val="页脚 Char"/>
    <w:basedOn w:val="a0"/>
    <w:link w:val="a5"/>
    <w:uiPriority w:val="99"/>
    <w:qFormat/>
    <w:rsid w:val="00556098"/>
    <w:rPr>
      <w:rFonts w:ascii="Calibri" w:eastAsia="宋体" w:hAnsi="Calibri" w:cs="Times New Roman"/>
      <w:kern w:val="0"/>
      <w:sz w:val="18"/>
      <w:szCs w:val="18"/>
    </w:rPr>
  </w:style>
  <w:style w:type="paragraph" w:styleId="a6">
    <w:name w:val="header"/>
    <w:basedOn w:val="a"/>
    <w:link w:val="Char2"/>
    <w:uiPriority w:val="99"/>
    <w:qFormat/>
    <w:rsid w:val="00556098"/>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2">
    <w:name w:val="页眉 Char"/>
    <w:basedOn w:val="a0"/>
    <w:link w:val="a6"/>
    <w:uiPriority w:val="99"/>
    <w:qFormat/>
    <w:rsid w:val="00556098"/>
    <w:rPr>
      <w:rFonts w:ascii="Calibri" w:eastAsia="宋体" w:hAnsi="Calibri" w:cs="Times New Roman"/>
      <w:kern w:val="0"/>
      <w:sz w:val="18"/>
      <w:szCs w:val="18"/>
    </w:rPr>
  </w:style>
  <w:style w:type="paragraph" w:styleId="10">
    <w:name w:val="toc 1"/>
    <w:basedOn w:val="a"/>
    <w:next w:val="a"/>
    <w:uiPriority w:val="39"/>
    <w:unhideWhenUsed/>
    <w:qFormat/>
    <w:rsid w:val="00556098"/>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56098"/>
    <w:pPr>
      <w:tabs>
        <w:tab w:val="right" w:leader="dot" w:pos="8296"/>
      </w:tabs>
      <w:ind w:leftChars="200" w:left="420"/>
    </w:pPr>
  </w:style>
  <w:style w:type="character" w:styleId="a7">
    <w:name w:val="Strong"/>
    <w:basedOn w:val="a0"/>
    <w:uiPriority w:val="99"/>
    <w:qFormat/>
    <w:rsid w:val="00556098"/>
    <w:rPr>
      <w:b/>
    </w:rPr>
  </w:style>
  <w:style w:type="character" w:styleId="a8">
    <w:name w:val="Hyperlink"/>
    <w:basedOn w:val="a0"/>
    <w:uiPriority w:val="99"/>
    <w:unhideWhenUsed/>
    <w:qFormat/>
    <w:rsid w:val="00556098"/>
    <w:rPr>
      <w:color w:val="0000FF" w:themeColor="hyperlink"/>
      <w:u w:val="single"/>
    </w:rPr>
  </w:style>
  <w:style w:type="character" w:customStyle="1" w:styleId="HeaderChar">
    <w:name w:val="Header Char"/>
    <w:basedOn w:val="a0"/>
    <w:uiPriority w:val="99"/>
    <w:semiHidden/>
    <w:qFormat/>
    <w:rsid w:val="00556098"/>
    <w:rPr>
      <w:rFonts w:ascii="Times New Roman" w:hAnsi="Times New Roman"/>
      <w:sz w:val="18"/>
      <w:szCs w:val="18"/>
    </w:rPr>
  </w:style>
  <w:style w:type="character" w:customStyle="1" w:styleId="FooterChar">
    <w:name w:val="Footer Char"/>
    <w:basedOn w:val="a0"/>
    <w:uiPriority w:val="99"/>
    <w:semiHidden/>
    <w:qFormat/>
    <w:rsid w:val="00556098"/>
    <w:rPr>
      <w:rFonts w:ascii="Times New Roman" w:hAnsi="Times New Roman"/>
      <w:sz w:val="18"/>
      <w:szCs w:val="18"/>
    </w:rPr>
  </w:style>
  <w:style w:type="character" w:customStyle="1" w:styleId="BodyTextChar">
    <w:name w:val="Body Text Char"/>
    <w:basedOn w:val="a0"/>
    <w:uiPriority w:val="99"/>
    <w:semiHidden/>
    <w:qFormat/>
    <w:rsid w:val="00556098"/>
    <w:rPr>
      <w:rFonts w:ascii="Times New Roman" w:hAnsi="Times New Roman"/>
      <w:szCs w:val="24"/>
    </w:rPr>
  </w:style>
  <w:style w:type="paragraph" w:customStyle="1" w:styleId="Default">
    <w:name w:val="Default"/>
    <w:uiPriority w:val="99"/>
    <w:qFormat/>
    <w:rsid w:val="00556098"/>
    <w:pPr>
      <w:widowControl w:val="0"/>
      <w:autoSpaceDE w:val="0"/>
      <w:autoSpaceDN w:val="0"/>
      <w:adjustRightInd w:val="0"/>
    </w:pPr>
    <w:rPr>
      <w:rFonts w:ascii="仿宋" w:eastAsia="仿宋" w:hAnsi="Calibri" w:cs="仿宋"/>
      <w:color w:val="000000"/>
      <w:kern w:val="0"/>
      <w:sz w:val="24"/>
      <w:szCs w:val="24"/>
    </w:rPr>
  </w:style>
  <w:style w:type="paragraph" w:styleId="a9">
    <w:name w:val="List Paragraph"/>
    <w:basedOn w:val="a"/>
    <w:uiPriority w:val="34"/>
    <w:qFormat/>
    <w:rsid w:val="00556098"/>
    <w:pPr>
      <w:ind w:firstLineChars="200" w:firstLine="420"/>
    </w:pPr>
  </w:style>
  <w:style w:type="paragraph" w:customStyle="1" w:styleId="TOC1">
    <w:name w:val="TOC 标题1"/>
    <w:basedOn w:val="1"/>
    <w:next w:val="a"/>
    <w:uiPriority w:val="39"/>
    <w:unhideWhenUsed/>
    <w:qFormat/>
    <w:rsid w:val="0055609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unhideWhenUsed/>
    <w:qFormat/>
    <w:rsid w:val="0055609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nhideWhenUsed/>
    <w:qFormat/>
    <w:rsid w:val="0055609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851591">
      <w:bodyDiv w:val="1"/>
      <w:marLeft w:val="0"/>
      <w:marRight w:val="0"/>
      <w:marTop w:val="0"/>
      <w:marBottom w:val="0"/>
      <w:divBdr>
        <w:top w:val="none" w:sz="0" w:space="0" w:color="auto"/>
        <w:left w:val="none" w:sz="0" w:space="0" w:color="auto"/>
        <w:bottom w:val="none" w:sz="0" w:space="0" w:color="auto"/>
        <w:right w:val="none" w:sz="0" w:space="0" w:color="auto"/>
      </w:divBdr>
    </w:div>
    <w:div w:id="268897478">
      <w:bodyDiv w:val="1"/>
      <w:marLeft w:val="0"/>
      <w:marRight w:val="0"/>
      <w:marTop w:val="0"/>
      <w:marBottom w:val="0"/>
      <w:divBdr>
        <w:top w:val="none" w:sz="0" w:space="0" w:color="auto"/>
        <w:left w:val="none" w:sz="0" w:space="0" w:color="auto"/>
        <w:bottom w:val="none" w:sz="0" w:space="0" w:color="auto"/>
        <w:right w:val="none" w:sz="0" w:space="0" w:color="auto"/>
      </w:divBdr>
    </w:div>
    <w:div w:id="462189240">
      <w:bodyDiv w:val="1"/>
      <w:marLeft w:val="0"/>
      <w:marRight w:val="0"/>
      <w:marTop w:val="0"/>
      <w:marBottom w:val="0"/>
      <w:divBdr>
        <w:top w:val="none" w:sz="0" w:space="0" w:color="auto"/>
        <w:left w:val="none" w:sz="0" w:space="0" w:color="auto"/>
        <w:bottom w:val="none" w:sz="0" w:space="0" w:color="auto"/>
        <w:right w:val="none" w:sz="0" w:space="0" w:color="auto"/>
      </w:divBdr>
    </w:div>
    <w:div w:id="778185771">
      <w:bodyDiv w:val="1"/>
      <w:marLeft w:val="0"/>
      <w:marRight w:val="0"/>
      <w:marTop w:val="0"/>
      <w:marBottom w:val="0"/>
      <w:divBdr>
        <w:top w:val="none" w:sz="0" w:space="0" w:color="auto"/>
        <w:left w:val="none" w:sz="0" w:space="0" w:color="auto"/>
        <w:bottom w:val="none" w:sz="0" w:space="0" w:color="auto"/>
        <w:right w:val="none" w:sz="0" w:space="0" w:color="auto"/>
      </w:divBdr>
    </w:div>
    <w:div w:id="890192782">
      <w:bodyDiv w:val="1"/>
      <w:marLeft w:val="0"/>
      <w:marRight w:val="0"/>
      <w:marTop w:val="0"/>
      <w:marBottom w:val="0"/>
      <w:divBdr>
        <w:top w:val="none" w:sz="0" w:space="0" w:color="auto"/>
        <w:left w:val="none" w:sz="0" w:space="0" w:color="auto"/>
        <w:bottom w:val="none" w:sz="0" w:space="0" w:color="auto"/>
        <w:right w:val="none" w:sz="0" w:space="0" w:color="auto"/>
      </w:divBdr>
    </w:div>
    <w:div w:id="915826230">
      <w:bodyDiv w:val="1"/>
      <w:marLeft w:val="0"/>
      <w:marRight w:val="0"/>
      <w:marTop w:val="0"/>
      <w:marBottom w:val="0"/>
      <w:divBdr>
        <w:top w:val="none" w:sz="0" w:space="0" w:color="auto"/>
        <w:left w:val="none" w:sz="0" w:space="0" w:color="auto"/>
        <w:bottom w:val="none" w:sz="0" w:space="0" w:color="auto"/>
        <w:right w:val="none" w:sz="0" w:space="0" w:color="auto"/>
      </w:divBdr>
    </w:div>
    <w:div w:id="1155145982">
      <w:bodyDiv w:val="1"/>
      <w:marLeft w:val="0"/>
      <w:marRight w:val="0"/>
      <w:marTop w:val="0"/>
      <w:marBottom w:val="0"/>
      <w:divBdr>
        <w:top w:val="none" w:sz="0" w:space="0" w:color="auto"/>
        <w:left w:val="none" w:sz="0" w:space="0" w:color="auto"/>
        <w:bottom w:val="none" w:sz="0" w:space="0" w:color="auto"/>
        <w:right w:val="none" w:sz="0" w:space="0" w:color="auto"/>
      </w:divBdr>
    </w:div>
    <w:div w:id="1167860871">
      <w:bodyDiv w:val="1"/>
      <w:marLeft w:val="0"/>
      <w:marRight w:val="0"/>
      <w:marTop w:val="0"/>
      <w:marBottom w:val="0"/>
      <w:divBdr>
        <w:top w:val="none" w:sz="0" w:space="0" w:color="auto"/>
        <w:left w:val="none" w:sz="0" w:space="0" w:color="auto"/>
        <w:bottom w:val="none" w:sz="0" w:space="0" w:color="auto"/>
        <w:right w:val="none" w:sz="0" w:space="0" w:color="auto"/>
      </w:divBdr>
    </w:div>
    <w:div w:id="1522358810">
      <w:bodyDiv w:val="1"/>
      <w:marLeft w:val="0"/>
      <w:marRight w:val="0"/>
      <w:marTop w:val="0"/>
      <w:marBottom w:val="0"/>
      <w:divBdr>
        <w:top w:val="none" w:sz="0" w:space="0" w:color="auto"/>
        <w:left w:val="none" w:sz="0" w:space="0" w:color="auto"/>
        <w:bottom w:val="none" w:sz="0" w:space="0" w:color="auto"/>
        <w:right w:val="none" w:sz="0" w:space="0" w:color="auto"/>
      </w:divBdr>
    </w:div>
    <w:div w:id="1558781862">
      <w:bodyDiv w:val="1"/>
      <w:marLeft w:val="0"/>
      <w:marRight w:val="0"/>
      <w:marTop w:val="0"/>
      <w:marBottom w:val="0"/>
      <w:divBdr>
        <w:top w:val="none" w:sz="0" w:space="0" w:color="auto"/>
        <w:left w:val="none" w:sz="0" w:space="0" w:color="auto"/>
        <w:bottom w:val="none" w:sz="0" w:space="0" w:color="auto"/>
        <w:right w:val="none" w:sz="0" w:space="0" w:color="auto"/>
      </w:divBdr>
    </w:div>
    <w:div w:id="1697735009">
      <w:bodyDiv w:val="1"/>
      <w:marLeft w:val="0"/>
      <w:marRight w:val="0"/>
      <w:marTop w:val="0"/>
      <w:marBottom w:val="0"/>
      <w:divBdr>
        <w:top w:val="none" w:sz="0" w:space="0" w:color="auto"/>
        <w:left w:val="none" w:sz="0" w:space="0" w:color="auto"/>
        <w:bottom w:val="none" w:sz="0" w:space="0" w:color="auto"/>
        <w:right w:val="none" w:sz="0" w:space="0" w:color="auto"/>
      </w:divBdr>
    </w:div>
    <w:div w:id="189808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2021年</c:v>
                </c:pt>
              </c:strCache>
            </c:strRef>
          </c:tx>
          <c:dLbls>
            <c:dLbl>
              <c:idx val="0"/>
              <c:tx>
                <c:rich>
                  <a:bodyPr/>
                  <a:lstStyle/>
                  <a:p>
                    <a:r>
                      <a:rPr lang="en-US" altLang="zh-CN"/>
                      <a:t>6934.59</a:t>
                    </a:r>
                    <a:endParaRPr lang="en-US" altLang="en-US"/>
                  </a:p>
                </c:rich>
              </c:tx>
              <c:showVal val="1"/>
            </c:dLbl>
            <c:showVal val="1"/>
          </c:dLbls>
          <c:cat>
            <c:strRef>
              <c:f>Sheet1!$A$2</c:f>
              <c:strCache>
                <c:ptCount val="1"/>
                <c:pt idx="0">
                  <c:v>收入、支出总计</c:v>
                </c:pt>
              </c:strCache>
            </c:strRef>
          </c:cat>
          <c:val>
            <c:numRef>
              <c:f>Sheet1!$B$2</c:f>
              <c:numCache>
                <c:formatCode>General</c:formatCode>
                <c:ptCount val="1"/>
                <c:pt idx="0">
                  <c:v>6934.59</c:v>
                </c:pt>
              </c:numCache>
            </c:numRef>
          </c:val>
        </c:ser>
        <c:ser>
          <c:idx val="1"/>
          <c:order val="1"/>
          <c:tx>
            <c:strRef>
              <c:f>Sheet1!$C$1</c:f>
              <c:strCache>
                <c:ptCount val="1"/>
                <c:pt idx="0">
                  <c:v>2022年</c:v>
                </c:pt>
              </c:strCache>
            </c:strRef>
          </c:tx>
          <c:dLbls>
            <c:showVal val="1"/>
          </c:dLbls>
          <c:cat>
            <c:strRef>
              <c:f>Sheet1!$A$2</c:f>
              <c:strCache>
                <c:ptCount val="1"/>
                <c:pt idx="0">
                  <c:v>收入、支出总计</c:v>
                </c:pt>
              </c:strCache>
            </c:strRef>
          </c:cat>
          <c:val>
            <c:numRef>
              <c:f>Sheet1!$C$2</c:f>
              <c:numCache>
                <c:formatCode>General</c:formatCode>
                <c:ptCount val="1"/>
                <c:pt idx="0">
                  <c:v>7337.58</c:v>
                </c:pt>
              </c:numCache>
            </c:numRef>
          </c:val>
        </c:ser>
        <c:axId val="135230208"/>
        <c:axId val="135308416"/>
      </c:barChart>
      <c:catAx>
        <c:axId val="135230208"/>
        <c:scaling>
          <c:orientation val="minMax"/>
        </c:scaling>
        <c:axPos val="b"/>
        <c:tickLblPos val="nextTo"/>
        <c:crossAx val="135308416"/>
        <c:crosses val="autoZero"/>
        <c:auto val="1"/>
        <c:lblAlgn val="ctr"/>
        <c:lblOffset val="100"/>
      </c:catAx>
      <c:valAx>
        <c:axId val="135308416"/>
        <c:scaling>
          <c:orientation val="minMax"/>
        </c:scaling>
        <c:axPos val="l"/>
        <c:majorGridlines/>
        <c:numFmt formatCode="General" sourceLinked="1"/>
        <c:tickLblPos val="nextTo"/>
        <c:crossAx val="135230208"/>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pieChart>
        <c:varyColors val="1"/>
        <c:ser>
          <c:idx val="0"/>
          <c:order val="0"/>
          <c:tx>
            <c:strRef>
              <c:f>Sheet1!$B$1</c:f>
              <c:strCache>
                <c:ptCount val="1"/>
                <c:pt idx="0">
                  <c:v>销售额</c:v>
                </c:pt>
              </c:strCache>
            </c:strRef>
          </c:tx>
          <c:dLbls>
            <c:dLbl>
              <c:idx val="0"/>
              <c:tx>
                <c:rich>
                  <a:bodyPr/>
                  <a:lstStyle/>
                  <a:p>
                    <a:r>
                      <a:rPr lang="en-US" altLang="en-US"/>
                      <a:t>66.54%</a:t>
                    </a:r>
                  </a:p>
                </c:rich>
              </c:tx>
              <c:showPercent val="1"/>
            </c:dLbl>
            <c:dLbl>
              <c:idx val="1"/>
              <c:tx>
                <c:rich>
                  <a:bodyPr/>
                  <a:lstStyle/>
                  <a:p>
                    <a:r>
                      <a:rPr lang="en-US" altLang="en-US"/>
                      <a:t>32.71%</a:t>
                    </a:r>
                  </a:p>
                </c:rich>
              </c:tx>
              <c:showPercent val="1"/>
            </c:dLbl>
            <c:dLbl>
              <c:idx val="2"/>
              <c:tx>
                <c:rich>
                  <a:bodyPr/>
                  <a:lstStyle/>
                  <a:p>
                    <a:r>
                      <a:rPr lang="en-US" altLang="en-US"/>
                      <a:t>0.75%</a:t>
                    </a:r>
                  </a:p>
                </c:rich>
              </c:tx>
              <c:showPercent val="1"/>
            </c:dLbl>
            <c:showPercent val="1"/>
            <c:showLeaderLines val="1"/>
          </c:dLbls>
          <c:cat>
            <c:strRef>
              <c:f>Sheet1!$A$2:$A$4</c:f>
              <c:strCache>
                <c:ptCount val="3"/>
                <c:pt idx="0">
                  <c:v>财政收入</c:v>
                </c:pt>
                <c:pt idx="1">
                  <c:v>经营收入</c:v>
                </c:pt>
                <c:pt idx="2">
                  <c:v>其他收入</c:v>
                </c:pt>
              </c:strCache>
            </c:strRef>
          </c:cat>
          <c:val>
            <c:numRef>
              <c:f>Sheet1!$B$2:$B$4</c:f>
              <c:numCache>
                <c:formatCode>General</c:formatCode>
                <c:ptCount val="3"/>
                <c:pt idx="0">
                  <c:v>4870.78</c:v>
                </c:pt>
                <c:pt idx="1">
                  <c:v>2394.6</c:v>
                </c:pt>
                <c:pt idx="2">
                  <c:v>55.120000000000012</c:v>
                </c:pt>
              </c:numCache>
            </c:numRef>
          </c:val>
        </c:ser>
        <c:dLbls>
          <c:showPercent val="1"/>
        </c:dLbls>
        <c:firstSliceAng val="15"/>
      </c:pieChart>
    </c:plotArea>
    <c:legend>
      <c:legendPos val="r"/>
    </c:legend>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pieChart>
        <c:varyColors val="1"/>
        <c:ser>
          <c:idx val="0"/>
          <c:order val="0"/>
          <c:tx>
            <c:strRef>
              <c:f>Sheet1!$B$1</c:f>
              <c:strCache>
                <c:ptCount val="1"/>
                <c:pt idx="0">
                  <c:v>销售额</c:v>
                </c:pt>
              </c:strCache>
            </c:strRef>
          </c:tx>
          <c:dLbls>
            <c:dLbl>
              <c:idx val="0"/>
              <c:tx>
                <c:rich>
                  <a:bodyPr/>
                  <a:lstStyle/>
                  <a:p>
                    <a:r>
                      <a:rPr lang="en-US" altLang="en-US"/>
                      <a:t>69.96%</a:t>
                    </a:r>
                  </a:p>
                </c:rich>
              </c:tx>
              <c:showPercent val="1"/>
            </c:dLbl>
            <c:dLbl>
              <c:idx val="1"/>
              <c:layout>
                <c:manualLayout>
                  <c:x val="-0.15415801751144029"/>
                  <c:y val="1.8917693427856399E-3"/>
                </c:manualLayout>
              </c:layout>
              <c:tx>
                <c:rich>
                  <a:bodyPr/>
                  <a:lstStyle/>
                  <a:p>
                    <a:r>
                      <a:rPr lang="en-US" altLang="en-US"/>
                      <a:t>1.28%</a:t>
                    </a:r>
                  </a:p>
                </c:rich>
              </c:tx>
              <c:showPercent val="1"/>
            </c:dLbl>
            <c:dLbl>
              <c:idx val="2"/>
              <c:layout>
                <c:manualLayout>
                  <c:x val="2.1992794560301766E-2"/>
                  <c:y val="-1.1874242463878059E-2"/>
                </c:manualLayout>
              </c:layout>
              <c:tx>
                <c:rich>
                  <a:bodyPr/>
                  <a:lstStyle/>
                  <a:p>
                    <a:r>
                      <a:rPr lang="en-US" altLang="en-US"/>
                      <a:t>28.76%</a:t>
                    </a:r>
                  </a:p>
                </c:rich>
              </c:tx>
              <c:showPercent val="1"/>
            </c:dLbl>
            <c:showPercent val="1"/>
            <c:showLeaderLines val="1"/>
          </c:dLbls>
          <c:cat>
            <c:strRef>
              <c:f>Sheet1!$A$2:$A$4</c:f>
              <c:strCache>
                <c:ptCount val="3"/>
                <c:pt idx="0">
                  <c:v>基本支出</c:v>
                </c:pt>
                <c:pt idx="1">
                  <c:v>项目支出</c:v>
                </c:pt>
                <c:pt idx="2">
                  <c:v>经营支出</c:v>
                </c:pt>
              </c:strCache>
            </c:strRef>
          </c:cat>
          <c:val>
            <c:numRef>
              <c:f>Sheet1!$B$2:$B$4</c:f>
              <c:numCache>
                <c:formatCode>General</c:formatCode>
                <c:ptCount val="3"/>
                <c:pt idx="0">
                  <c:v>4799.78</c:v>
                </c:pt>
                <c:pt idx="1">
                  <c:v>88.07</c:v>
                </c:pt>
                <c:pt idx="2">
                  <c:v>1973.3799999999999</c:v>
                </c:pt>
              </c:numCache>
            </c:numRef>
          </c:val>
        </c:ser>
        <c:dLbls>
          <c:showPercent val="1"/>
        </c:dLbls>
        <c:firstSliceAng val="15"/>
      </c:pieChart>
    </c:plotArea>
    <c:legend>
      <c:legendPos val="r"/>
    </c:legend>
    <c:plotVisOnly val="1"/>
    <c:dispBlanksAs val="zero"/>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2021年</c:v>
                </c:pt>
              </c:strCache>
            </c:strRef>
          </c:tx>
          <c:dLbls>
            <c:showVal val="1"/>
          </c:dLbls>
          <c:cat>
            <c:strRef>
              <c:f>Sheet1!$A$2</c:f>
              <c:strCache>
                <c:ptCount val="1"/>
                <c:pt idx="0">
                  <c:v>财政拨款收支总计</c:v>
                </c:pt>
              </c:strCache>
            </c:strRef>
          </c:cat>
          <c:val>
            <c:numRef>
              <c:f>Sheet1!$B$2</c:f>
              <c:numCache>
                <c:formatCode>General</c:formatCode>
                <c:ptCount val="1"/>
                <c:pt idx="0">
                  <c:v>5168.1200000000044</c:v>
                </c:pt>
              </c:numCache>
            </c:numRef>
          </c:val>
        </c:ser>
        <c:ser>
          <c:idx val="1"/>
          <c:order val="1"/>
          <c:tx>
            <c:strRef>
              <c:f>Sheet1!$C$1</c:f>
              <c:strCache>
                <c:ptCount val="1"/>
                <c:pt idx="0">
                  <c:v>2022年</c:v>
                </c:pt>
              </c:strCache>
            </c:strRef>
          </c:tx>
          <c:dLbls>
            <c:showVal val="1"/>
          </c:dLbls>
          <c:cat>
            <c:strRef>
              <c:f>Sheet1!$A$2</c:f>
              <c:strCache>
                <c:ptCount val="1"/>
                <c:pt idx="0">
                  <c:v>财政拨款收支总计</c:v>
                </c:pt>
              </c:strCache>
            </c:strRef>
          </c:cat>
          <c:val>
            <c:numRef>
              <c:f>Sheet1!$C$2</c:f>
              <c:numCache>
                <c:formatCode>General</c:formatCode>
                <c:ptCount val="1"/>
                <c:pt idx="0">
                  <c:v>4870.78</c:v>
                </c:pt>
              </c:numCache>
            </c:numRef>
          </c:val>
        </c:ser>
        <c:axId val="138085504"/>
        <c:axId val="138087040"/>
      </c:barChart>
      <c:catAx>
        <c:axId val="138085504"/>
        <c:scaling>
          <c:orientation val="minMax"/>
        </c:scaling>
        <c:axPos val="b"/>
        <c:tickLblPos val="nextTo"/>
        <c:crossAx val="138087040"/>
        <c:crosses val="autoZero"/>
        <c:auto val="1"/>
        <c:lblAlgn val="ctr"/>
        <c:lblOffset val="100"/>
      </c:catAx>
      <c:valAx>
        <c:axId val="138087040"/>
        <c:scaling>
          <c:orientation val="minMax"/>
        </c:scaling>
        <c:axPos val="l"/>
        <c:majorGridlines/>
        <c:numFmt formatCode="General" sourceLinked="1"/>
        <c:tickLblPos val="nextTo"/>
        <c:crossAx val="138085504"/>
        <c:crosses val="autoZero"/>
        <c:crossBetween val="between"/>
      </c:valAx>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2021年</c:v>
                </c:pt>
              </c:strCache>
            </c:strRef>
          </c:tx>
          <c:dLbls>
            <c:showVal val="1"/>
          </c:dLbls>
          <c:cat>
            <c:strRef>
              <c:f>Sheet1!$A$2</c:f>
              <c:strCache>
                <c:ptCount val="1"/>
                <c:pt idx="0">
                  <c:v>一般公共预算财政拨款支出</c:v>
                </c:pt>
              </c:strCache>
            </c:strRef>
          </c:cat>
          <c:val>
            <c:numRef>
              <c:f>Sheet1!$B$2</c:f>
              <c:numCache>
                <c:formatCode>General</c:formatCode>
                <c:ptCount val="1"/>
                <c:pt idx="0">
                  <c:v>5168.1200000000044</c:v>
                </c:pt>
              </c:numCache>
            </c:numRef>
          </c:val>
        </c:ser>
        <c:ser>
          <c:idx val="1"/>
          <c:order val="1"/>
          <c:tx>
            <c:strRef>
              <c:f>Sheet1!$C$1</c:f>
              <c:strCache>
                <c:ptCount val="1"/>
                <c:pt idx="0">
                  <c:v>2022年</c:v>
                </c:pt>
              </c:strCache>
            </c:strRef>
          </c:tx>
          <c:dLbls>
            <c:showVal val="1"/>
          </c:dLbls>
          <c:cat>
            <c:strRef>
              <c:f>Sheet1!$A$2</c:f>
              <c:strCache>
                <c:ptCount val="1"/>
                <c:pt idx="0">
                  <c:v>一般公共预算财政拨款支出</c:v>
                </c:pt>
              </c:strCache>
            </c:strRef>
          </c:cat>
          <c:val>
            <c:numRef>
              <c:f>Sheet1!$C$2</c:f>
              <c:numCache>
                <c:formatCode>General</c:formatCode>
                <c:ptCount val="1"/>
                <c:pt idx="0">
                  <c:v>4870.78</c:v>
                </c:pt>
              </c:numCache>
            </c:numRef>
          </c:val>
        </c:ser>
        <c:axId val="169940480"/>
        <c:axId val="169942016"/>
      </c:barChart>
      <c:catAx>
        <c:axId val="169940480"/>
        <c:scaling>
          <c:orientation val="minMax"/>
        </c:scaling>
        <c:axPos val="b"/>
        <c:tickLblPos val="nextTo"/>
        <c:crossAx val="169942016"/>
        <c:crosses val="autoZero"/>
        <c:auto val="1"/>
        <c:lblAlgn val="ctr"/>
        <c:lblOffset val="100"/>
      </c:catAx>
      <c:valAx>
        <c:axId val="169942016"/>
        <c:scaling>
          <c:orientation val="minMax"/>
        </c:scaling>
        <c:axPos val="l"/>
        <c:majorGridlines/>
        <c:numFmt formatCode="General" sourceLinked="1"/>
        <c:tickLblPos val="nextTo"/>
        <c:crossAx val="169940480"/>
        <c:crosses val="autoZero"/>
        <c:crossBetween val="between"/>
      </c:valAx>
    </c:plotArea>
    <c:legend>
      <c:legendPos val="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style val="3"/>
  <c:chart>
    <c:autoTitleDeleted val="1"/>
    <c:plotArea>
      <c:layout/>
      <c:pieChart>
        <c:varyColors val="1"/>
        <c:ser>
          <c:idx val="0"/>
          <c:order val="0"/>
          <c:tx>
            <c:strRef>
              <c:f>Sheet1!$B$1</c:f>
              <c:strCache>
                <c:ptCount val="1"/>
                <c:pt idx="0">
                  <c:v>一般公共预算财政拨款支出结构</c:v>
                </c:pt>
              </c:strCache>
            </c:strRef>
          </c:tx>
          <c:dLbls>
            <c:dLbl>
              <c:idx val="0"/>
              <c:layout>
                <c:manualLayout>
                  <c:x val="4.1151934567917145E-2"/>
                  <c:y val="2.9964512862858433E-2"/>
                </c:manualLayout>
              </c:layout>
              <c:tx>
                <c:rich>
                  <a:bodyPr/>
                  <a:lstStyle/>
                  <a:p>
                    <a:r>
                      <a:rPr lang="en-US" altLang="en-US"/>
                      <a:t>31.17%</a:t>
                    </a:r>
                  </a:p>
                </c:rich>
              </c:tx>
              <c:showPercent val="1"/>
            </c:dLbl>
            <c:dLbl>
              <c:idx val="1"/>
              <c:layout>
                <c:manualLayout>
                  <c:x val="-0.15415801751144029"/>
                  <c:y val="1.8917693427856399E-3"/>
                </c:manualLayout>
              </c:layout>
              <c:tx>
                <c:rich>
                  <a:bodyPr/>
                  <a:lstStyle/>
                  <a:p>
                    <a:r>
                      <a:rPr lang="en-US" altLang="en-US"/>
                      <a:t>2.77%</a:t>
                    </a:r>
                  </a:p>
                </c:rich>
              </c:tx>
              <c:showPercent val="1"/>
            </c:dLbl>
            <c:dLbl>
              <c:idx val="2"/>
              <c:layout>
                <c:manualLayout>
                  <c:x val="2.1992794560301766E-2"/>
                  <c:y val="-1.1874242463878059E-2"/>
                </c:manualLayout>
              </c:layout>
              <c:tx>
                <c:rich>
                  <a:bodyPr/>
                  <a:lstStyle/>
                  <a:p>
                    <a:r>
                      <a:rPr lang="en-US" altLang="en-US"/>
                      <a:t>4.62%</a:t>
                    </a:r>
                  </a:p>
                </c:rich>
              </c:tx>
              <c:showPercent val="1"/>
            </c:dLbl>
            <c:dLbl>
              <c:idx val="3"/>
              <c:tx>
                <c:rich>
                  <a:bodyPr/>
                  <a:lstStyle/>
                  <a:p>
                    <a:r>
                      <a:rPr lang="en-US" altLang="zh-CN"/>
                      <a:t>61.44%</a:t>
                    </a:r>
                  </a:p>
                </c:rich>
              </c:tx>
              <c:showPercent val="1"/>
            </c:dLbl>
            <c:dLbl>
              <c:idx val="4"/>
              <c:tx>
                <c:rich>
                  <a:bodyPr/>
                  <a:lstStyle/>
                  <a:p>
                    <a:r>
                      <a:rPr lang="en-US" altLang="zh-CN"/>
                      <a:t>69.11%</a:t>
                    </a:r>
                  </a:p>
                </c:rich>
              </c:tx>
              <c:showPercent val="1"/>
            </c:dLbl>
            <c:showPercent val="1"/>
            <c:showLeaderLines val="1"/>
          </c:dLbls>
          <c:cat>
            <c:strRef>
              <c:f>Sheet1!$A$2:$A$5</c:f>
              <c:strCache>
                <c:ptCount val="4"/>
                <c:pt idx="0">
                  <c:v>社会保障和就业支出</c:v>
                </c:pt>
                <c:pt idx="1">
                  <c:v>卫生健康支出</c:v>
                </c:pt>
                <c:pt idx="2">
                  <c:v>住房保障支出</c:v>
                </c:pt>
                <c:pt idx="3">
                  <c:v>资源勘探工业信息支出</c:v>
                </c:pt>
              </c:strCache>
            </c:strRef>
          </c:cat>
          <c:val>
            <c:numRef>
              <c:f>Sheet1!$B$2:$B$5</c:f>
              <c:numCache>
                <c:formatCode>_ * #,##0.00_ ;_ * \-#,##0.00_ ;_ * "-"??_ ;_ @_ </c:formatCode>
                <c:ptCount val="4"/>
                <c:pt idx="0">
                  <c:v>1518.27</c:v>
                </c:pt>
                <c:pt idx="1">
                  <c:v>135</c:v>
                </c:pt>
                <c:pt idx="2">
                  <c:v>225</c:v>
                </c:pt>
                <c:pt idx="3">
                  <c:v>2992.51</c:v>
                </c:pt>
              </c:numCache>
            </c:numRef>
          </c:val>
        </c:ser>
        <c:dLbls>
          <c:showPercent val="1"/>
        </c:dLbls>
        <c:firstSliceAng val="15"/>
      </c:pieChart>
    </c:plotArea>
    <c:legend>
      <c:legendPos val="r"/>
    </c:legend>
    <c:plotVisOnly val="1"/>
    <c:dispBlanksAs val="zero"/>
  </c:chart>
  <c:spPr>
    <a:ln>
      <a:noFill/>
    </a:ln>
  </c:sp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600F-72B1-4563-B171-E316A3C8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15</Pages>
  <Words>812</Words>
  <Characters>4635</Characters>
  <Application>Microsoft Office Word</Application>
  <DocSecurity>0</DocSecurity>
  <Lines>38</Lines>
  <Paragraphs>10</Paragraphs>
  <ScaleCrop>false</ScaleCrop>
  <Company>P R C</Company>
  <LinksUpToDate>false</LinksUpToDate>
  <CharactersWithSpaces>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324</cp:revision>
  <cp:lastPrinted>2021-08-24T06:41:00Z</cp:lastPrinted>
  <dcterms:created xsi:type="dcterms:W3CDTF">2021-08-17T08:11:00Z</dcterms:created>
  <dcterms:modified xsi:type="dcterms:W3CDTF">2023-09-05T08:27:00Z</dcterms:modified>
</cp:coreProperties>
</file>