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06268"/>
      <w:bookmarkStart w:id="8" w:name="_Toc15377194"/>
      <w:bookmarkStart w:id="9" w:name="_Toc15377426"/>
      <w:bookmarkStart w:id="10" w:name="_Toc15396476"/>
      <w:bookmarkStart w:id="11" w:name="_Toc15396598"/>
      <w:r>
        <w:rPr>
          <w:rFonts w:hint="eastAsia" w:ascii="方正小标宋简体" w:hAnsi="宋体" w:eastAsia="方正小标宋简体"/>
          <w:b/>
          <w:bCs/>
          <w:color w:val="auto"/>
          <w:sz w:val="72"/>
          <w:szCs w:val="72"/>
        </w:rPr>
        <w:t>四川省</w:t>
      </w:r>
      <w:r>
        <w:rPr>
          <w:rFonts w:hint="eastAsia" w:ascii="方正小标宋简体" w:hAnsi="宋体" w:eastAsia="方正小标宋简体"/>
          <w:b/>
          <w:bCs/>
          <w:color w:val="auto"/>
          <w:sz w:val="72"/>
          <w:szCs w:val="72"/>
          <w:lang w:eastAsia="zh-CN"/>
        </w:rPr>
        <w:t>地矿局成都水文队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rFonts w:hint="eastAsia"/>
          <w:color w:val="auto"/>
          <w:sz w:val="24"/>
          <w:highlight w:val="none"/>
          <w:lang w:val="en-US" w:eastAsia="zh-CN"/>
        </w:rPr>
        <w:t>单位概况</w:t>
      </w:r>
      <w:r>
        <w:tab/>
      </w:r>
      <w:r>
        <w:rPr>
          <w:rFonts w:hint="eastAsia"/>
          <w:lang w:val="en-US" w:eastAsia="zh-CN"/>
        </w:rPr>
        <w:t>1</w:t>
      </w:r>
    </w:p>
    <w:p>
      <w:pPr>
        <w:pStyle w:val="10"/>
        <w:adjustRightInd w:val="0"/>
        <w:snapToGrid w:val="0"/>
        <w:spacing w:before="0" w:line="440" w:lineRule="exact"/>
        <w:ind w:firstLine="280" w:firstLineChars="100"/>
        <w:jc w:val="left"/>
        <w:rPr>
          <w:rFonts w:hint="eastAsia" w:eastAsia="仿宋"/>
          <w:color w:val="auto"/>
          <w:sz w:val="24"/>
          <w:highlight w:val="none"/>
          <w:lang w:eastAsia="zh-CN"/>
        </w:rPr>
      </w:pPr>
      <w:r>
        <w:rPr>
          <w:rFonts w:hint="eastAsia"/>
        </w:rPr>
        <w:t>一</w:t>
      </w:r>
      <w:r>
        <w:rPr>
          <w:rFonts w:hint="eastAsia"/>
          <w:sz w:val="24"/>
          <w:szCs w:val="24"/>
        </w:rPr>
        <w:t>、</w:t>
      </w:r>
      <w:r>
        <w:rPr>
          <w:rFonts w:hint="eastAsia" w:asciiTheme="minorEastAsia" w:hAnsiTheme="minorEastAsia" w:eastAsiaTheme="minorEastAsia" w:cstheme="minorEastAsia"/>
          <w:color w:val="auto"/>
          <w:kern w:val="2"/>
          <w:sz w:val="24"/>
          <w:szCs w:val="24"/>
          <w:highlight w:val="none"/>
          <w:lang w:val="en-US" w:eastAsia="zh-CN" w:bidi="ar-SA"/>
        </w:rPr>
        <w:t>职能简介</w:t>
      </w:r>
      <w:r>
        <w:tab/>
      </w:r>
      <w:r>
        <w:rPr>
          <w:rFonts w:hint="eastAsia"/>
          <w:lang w:val="en-US" w:eastAsia="zh-CN"/>
        </w:rPr>
        <w:t>1</w:t>
      </w:r>
    </w:p>
    <w:p>
      <w:pPr>
        <w:pStyle w:val="10"/>
        <w:adjustRightInd w:val="0"/>
        <w:snapToGrid w:val="0"/>
        <w:spacing w:before="0" w:line="440" w:lineRule="exact"/>
        <w:ind w:firstLine="240" w:firstLineChars="100"/>
        <w:jc w:val="left"/>
        <w:rPr>
          <w:rFonts w:hint="eastAsia" w:eastAsia="仿宋" w:asciiTheme="minorEastAsia" w:hAnsi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tab/>
      </w:r>
      <w:r>
        <w:rPr>
          <w:rFonts w:hint="eastAsia"/>
          <w:lang w:val="en-US" w:eastAsia="zh-CN"/>
        </w:rPr>
        <w:t>1</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lang w:val="en-US" w:eastAsia="zh-CN"/>
        </w:rPr>
        <w:t>机构设置</w:t>
      </w:r>
      <w:r>
        <w:rPr>
          <w:rFonts w:hint="eastAsia" w:asciiTheme="minorEastAsia" w:hAnsiTheme="minorEastAsia" w:eastAsiaTheme="minorEastAsia" w:cstheme="minorEastAsia"/>
          <w:color w:val="auto"/>
          <w:sz w:val="24"/>
          <w:highlight w:val="none"/>
          <w:lang w:eastAsia="zh-CN"/>
        </w:rPr>
        <w:t>情况</w:t>
      </w:r>
      <w:r>
        <w:tab/>
      </w:r>
      <w:r>
        <w:rPr>
          <w:rFonts w:hint="eastAsia"/>
          <w:lang w:val="en-US" w:eastAsia="zh-CN"/>
        </w:rPr>
        <w:t>2</w:t>
      </w:r>
    </w:p>
    <w:p>
      <w:pPr>
        <w:pStyle w:val="10"/>
        <w:adjustRightInd w:val="0"/>
        <w:snapToGrid w:val="0"/>
        <w:spacing w:before="0" w:line="440" w:lineRule="exact"/>
        <w:jc w:val="left"/>
        <w:rPr>
          <w:rFonts w:hint="eastAsia" w:eastAsia="仿宋"/>
          <w:color w:val="auto"/>
          <w:sz w:val="24"/>
          <w:szCs w:val="24"/>
          <w:highlight w:val="none"/>
          <w:lang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tab/>
      </w:r>
      <w:r>
        <w:rPr>
          <w:rFonts w:hint="eastAsia"/>
          <w:lang w:val="en-US" w:eastAsia="zh-CN"/>
        </w:rPr>
        <w:t>3</w:t>
      </w:r>
    </w:p>
    <w:p>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一、收入支出决算总体情况说明</w:t>
      </w:r>
      <w:r>
        <w:tab/>
      </w:r>
      <w:r>
        <w:rPr>
          <w:rFonts w:hint="eastAsia"/>
          <w:lang w:val="en-US" w:eastAsia="zh-CN"/>
        </w:rPr>
        <w:t>3</w:t>
      </w:r>
    </w:p>
    <w:p>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二、收入决算情况说明</w:t>
      </w:r>
      <w:r>
        <w:tab/>
      </w:r>
      <w:r>
        <w:rPr>
          <w:rFonts w:hint="eastAsia"/>
          <w:lang w:val="en-US" w:eastAsia="zh-CN"/>
        </w:rPr>
        <w:t>3</w:t>
      </w:r>
    </w:p>
    <w:p>
      <w:pPr>
        <w:pStyle w:val="10"/>
        <w:adjustRightInd w:val="0"/>
        <w:snapToGrid w:val="0"/>
        <w:spacing w:before="0" w:line="440" w:lineRule="exact"/>
        <w:ind w:firstLine="240" w:firstLineChars="100"/>
        <w:jc w:val="left"/>
        <w:rPr>
          <w:rFonts w:ascii="仿宋" w:hAnsi="仿宋" w:eastAsia="仿宋" w:cstheme="minorBidi"/>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三、支出决算情况说明</w:t>
      </w:r>
      <w:r>
        <w:tab/>
      </w:r>
      <w:r>
        <w:rPr>
          <w:rFonts w:hint="eastAsia"/>
          <w:lang w:val="en-US" w:eastAsia="zh-CN"/>
        </w:rPr>
        <w:t>4</w:t>
      </w:r>
    </w:p>
    <w:p>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四、财政拨款收入支出决算总体情况说明</w:t>
      </w:r>
      <w:r>
        <w:tab/>
      </w:r>
      <w:r>
        <w:rPr>
          <w:rFonts w:hint="eastAsia"/>
          <w:lang w:val="en-US" w:eastAsia="zh-CN"/>
        </w:rPr>
        <w:t>5</w:t>
      </w:r>
    </w:p>
    <w:p>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五、一般公共预算财政拨款支出决算情况说明</w:t>
      </w:r>
      <w:r>
        <w:tab/>
      </w:r>
      <w:r>
        <w:rPr>
          <w:rFonts w:hint="eastAsia"/>
          <w:lang w:val="en-US" w:eastAsia="zh-CN"/>
        </w:rPr>
        <w:t>5</w:t>
      </w:r>
    </w:p>
    <w:p>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六、一般公共预算财政拨款基本支出决算情况说明</w:t>
      </w:r>
      <w:r>
        <w:tab/>
      </w:r>
      <w:r>
        <w:rPr>
          <w:rFonts w:hint="eastAsia"/>
          <w:lang w:val="en-US" w:eastAsia="zh-CN"/>
        </w:rPr>
        <w:t>8</w:t>
      </w:r>
    </w:p>
    <w:p>
      <w:pPr>
        <w:pStyle w:val="10"/>
        <w:adjustRightInd w:val="0"/>
        <w:snapToGrid w:val="0"/>
        <w:spacing w:before="0" w:line="440" w:lineRule="exact"/>
        <w:ind w:firstLine="240" w:firstLineChars="100"/>
        <w:jc w:val="left"/>
        <w:rPr>
          <w:rFonts w:ascii="仿宋" w:hAnsi="仿宋" w:eastAsia="仿宋" w:cstheme="minorBidi"/>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七、“三公”经费财政拨款支出决算情况说明</w:t>
      </w:r>
      <w:r>
        <w:tab/>
      </w:r>
      <w:r>
        <w:rPr>
          <w:rFonts w:hint="eastAsia"/>
          <w:lang w:val="en-US" w:eastAsia="zh-CN"/>
        </w:rPr>
        <w:t>9</w:t>
      </w:r>
    </w:p>
    <w:p>
      <w:pPr>
        <w:pStyle w:val="10"/>
        <w:adjustRightInd w:val="0"/>
        <w:snapToGrid w:val="0"/>
        <w:spacing w:before="0" w:line="440" w:lineRule="exact"/>
        <w:ind w:firstLine="240" w:firstLineChars="100"/>
        <w:jc w:val="left"/>
        <w:rPr>
          <w:rFonts w:hint="default" w:ascii="仿宋" w:hAnsi="仿宋" w:eastAsia="仿宋" w:cstheme="minorBidi"/>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八、政府性基金预算支出决算情况说明</w:t>
      </w:r>
      <w:r>
        <w:tab/>
      </w:r>
      <w:r>
        <w:rPr>
          <w:rFonts w:hint="eastAsia"/>
          <w:lang w:val="en-US" w:eastAsia="zh-CN"/>
        </w:rPr>
        <w:t>9</w:t>
      </w:r>
    </w:p>
    <w:p>
      <w:pPr>
        <w:pStyle w:val="10"/>
        <w:adjustRightInd w:val="0"/>
        <w:snapToGrid w:val="0"/>
        <w:spacing w:before="0" w:line="440" w:lineRule="exact"/>
        <w:ind w:firstLine="240" w:firstLineChars="100"/>
        <w:jc w:val="left"/>
        <w:rPr>
          <w:rFonts w:hint="default"/>
          <w:color w:val="auto"/>
          <w:sz w:val="24"/>
          <w:highlight w:val="none"/>
          <w:lang w:val="en-US"/>
        </w:rPr>
      </w:pPr>
      <w:r>
        <w:rPr>
          <w:rFonts w:hint="eastAsia" w:ascii="Times New Roman" w:hAnsi="Times New Roman" w:eastAsia="宋体" w:cs="Times New Roman"/>
          <w:color w:val="auto"/>
          <w:kern w:val="2"/>
          <w:sz w:val="24"/>
          <w:szCs w:val="24"/>
          <w:highlight w:val="none"/>
          <w:lang w:val="en-US" w:eastAsia="zh-CN" w:bidi="ar-SA"/>
        </w:rPr>
        <w:t>九、国有资本经营预算支出决算情况说明</w:t>
      </w:r>
      <w:r>
        <w:tab/>
      </w:r>
      <w:r>
        <w:rPr>
          <w:rFonts w:hint="eastAsia"/>
          <w:lang w:val="en-US" w:eastAsia="zh-CN"/>
        </w:rPr>
        <w:t>9</w:t>
      </w:r>
    </w:p>
    <w:p>
      <w:pPr>
        <w:pStyle w:val="10"/>
        <w:adjustRightInd w:val="0"/>
        <w:snapToGrid w:val="0"/>
        <w:spacing w:before="0" w:line="440" w:lineRule="exact"/>
        <w:ind w:firstLine="240" w:firstLineChars="100"/>
        <w:jc w:val="left"/>
        <w:rPr>
          <w:rFonts w:hint="default"/>
          <w:lang w:val="en-US" w:eastAsia="zh-CN"/>
        </w:rPr>
      </w:pPr>
      <w:r>
        <w:rPr>
          <w:rFonts w:hint="eastAsia" w:ascii="Times New Roman" w:hAnsi="Times New Roman" w:eastAsia="宋体" w:cs="Times New Roman"/>
          <w:color w:val="auto"/>
          <w:kern w:val="2"/>
          <w:sz w:val="24"/>
          <w:szCs w:val="24"/>
          <w:highlight w:val="none"/>
          <w:lang w:val="en-US" w:eastAsia="zh-CN" w:bidi="ar-SA"/>
        </w:rPr>
        <w:t>十、其他重要事项的情况说明</w:t>
      </w:r>
      <w:r>
        <w:rPr>
          <w:rFonts w:hint="eastAsia"/>
          <w:lang w:val="en-US" w:eastAsia="zh-CN"/>
        </w:rPr>
        <w:tab/>
      </w:r>
      <w:r>
        <w:rPr>
          <w:rFonts w:hint="eastAsia"/>
          <w:lang w:val="en-US" w:eastAsia="zh-CN"/>
        </w:rPr>
        <w:t>9</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tab/>
      </w:r>
      <w:r>
        <w:rPr>
          <w:rFonts w:hint="eastAsia"/>
          <w:lang w:val="en-US" w:eastAsia="zh-CN"/>
        </w:rPr>
        <w:t>11</w:t>
      </w:r>
    </w:p>
    <w:p>
      <w:pPr>
        <w:pStyle w:val="10"/>
        <w:adjustRightInd w:val="0"/>
        <w:snapToGrid w:val="0"/>
        <w:spacing w:before="0" w:line="440" w:lineRule="exact"/>
        <w:jc w:val="left"/>
        <w:rPr>
          <w:rFonts w:hint="default" w:eastAsia="仿宋"/>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tab/>
      </w:r>
      <w:r>
        <w:rPr>
          <w:rFonts w:hint="eastAsia"/>
          <w:lang w:val="en-US" w:eastAsia="zh-CN"/>
        </w:rPr>
        <w:t>13</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tab/>
      </w:r>
      <w:r>
        <w:rPr>
          <w:rFonts w:hint="eastAsia"/>
          <w:lang w:val="en-US" w:eastAsia="zh-CN"/>
        </w:rPr>
        <w:t>15</w:t>
      </w:r>
    </w:p>
    <w:p>
      <w:pPr>
        <w:pStyle w:val="10"/>
        <w:adjustRightInd w:val="0"/>
        <w:snapToGrid w:val="0"/>
        <w:spacing w:before="0" w:line="440" w:lineRule="exact"/>
        <w:ind w:firstLine="240" w:firstLineChars="100"/>
        <w:jc w:val="left"/>
        <w:rPr>
          <w:rFonts w:hint="default" w:eastAsia="仿宋"/>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一、收入支出决算总表</w:t>
      </w:r>
      <w:r>
        <w:tab/>
      </w:r>
      <w:r>
        <w:rPr>
          <w:rFonts w:hint="eastAsia"/>
          <w:lang w:val="en-US" w:eastAsia="zh-CN"/>
        </w:rPr>
        <w:t>15</w:t>
      </w:r>
    </w:p>
    <w:p>
      <w:pPr>
        <w:pStyle w:val="10"/>
        <w:adjustRightInd w:val="0"/>
        <w:snapToGrid w:val="0"/>
        <w:spacing w:before="0" w:line="440" w:lineRule="exact"/>
        <w:ind w:firstLine="240" w:firstLineChars="100"/>
        <w:jc w:val="left"/>
        <w:rPr>
          <w:rFonts w:hint="default"/>
          <w:color w:val="auto"/>
          <w:sz w:val="24"/>
          <w:highlight w:val="none"/>
          <w:lang w:val="en-US"/>
        </w:rPr>
      </w:pPr>
      <w:r>
        <w:rPr>
          <w:rFonts w:hint="eastAsia" w:ascii="Times New Roman" w:hAnsi="Times New Roman" w:eastAsia="宋体" w:cs="Times New Roman"/>
          <w:color w:val="auto"/>
          <w:kern w:val="2"/>
          <w:sz w:val="24"/>
          <w:szCs w:val="24"/>
          <w:highlight w:val="none"/>
          <w:lang w:val="en-US" w:eastAsia="zh-CN" w:bidi="ar-SA"/>
        </w:rPr>
        <w:t>二、收入决算表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三、支出决算表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四、财政拨款收入支出决算总表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五、财政拨款支出决算明细表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六、一般公共预算财政拨款支出决算表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七、一般公共预算财政拨款支出决算明细表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eastAsia="宋体"/>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八、一般公共预算财政拨款基本支出决算表</w:t>
      </w:r>
      <w:r>
        <w:tab/>
      </w:r>
      <w:r>
        <w:rPr>
          <w:rFonts w:hint="eastAsia"/>
          <w:lang w:val="en-US" w:eastAsia="zh-CN"/>
        </w:rPr>
        <w:t>15</w:t>
      </w:r>
    </w:p>
    <w:p>
      <w:pPr>
        <w:pStyle w:val="11"/>
        <w:adjustRightInd w:val="0"/>
        <w:snapToGrid w:val="0"/>
        <w:spacing w:line="440" w:lineRule="exact"/>
        <w:jc w:val="left"/>
        <w:rPr>
          <w:rFonts w:hint="eastAsia"/>
          <w:color w:val="auto"/>
          <w:sz w:val="24"/>
          <w:highlight w:val="none"/>
        </w:rPr>
      </w:pP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九、一般公共预算财政拨款项目支出决算表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十、一般公共预算财政拨款“三公”经费支出决算表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十一、政府性基金预算财政拨款收入支出决算表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十二、政府性基金预算财政拨款“三公”经费支出决算表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十三、国有资本经营预算财政拨款收入支出决算表</w:t>
      </w:r>
      <w:r>
        <w:tab/>
      </w:r>
      <w:r>
        <w:rPr>
          <w:rFonts w:hint="eastAsia"/>
          <w:lang w:val="en-US" w:eastAsia="zh-CN"/>
        </w:rPr>
        <w:t>15</w:t>
      </w:r>
    </w:p>
    <w:p>
      <w:pPr>
        <w:pStyle w:val="10"/>
        <w:adjustRightInd w:val="0"/>
        <w:snapToGrid w:val="0"/>
        <w:spacing w:before="0" w:line="440" w:lineRule="exact"/>
        <w:ind w:firstLine="240" w:firstLineChars="100"/>
        <w:jc w:val="left"/>
        <w:rPr>
          <w:rFonts w:hint="eastAsia" w:eastAsia="宋体"/>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十四、国有资本经营预算财政拨款支出决算表</w:t>
      </w:r>
      <w:r>
        <w:tab/>
      </w:r>
      <w:r>
        <w:rPr>
          <w:rFonts w:hint="eastAsia"/>
          <w:lang w:val="en-US" w:eastAsia="zh-CN"/>
        </w:rPr>
        <w:t>15</w:t>
      </w:r>
    </w:p>
    <w:p>
      <w:pPr>
        <w:pStyle w:val="3"/>
        <w:jc w:val="center"/>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4"/>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主要职能：本单位主要担负为国家建设提供地矿勘查服务,承担水文地质、工程地质勘查、水及地热井钻探、桩基、地下连续墙、软弱地基、特钟钻凿工程施工、开展技术咨询服务等。</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机构情况：本单位是一家独立编制、独立核算的事业单位，机构无变动情况。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人员情况：本单位202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年度年末在职人员</w:t>
      </w:r>
      <w:r>
        <w:rPr>
          <w:rFonts w:hint="eastAsia" w:ascii="仿宋" w:hAnsi="仿宋" w:eastAsia="仿宋"/>
          <w:color w:val="auto"/>
          <w:sz w:val="32"/>
          <w:szCs w:val="32"/>
          <w:lang w:val="en-US" w:eastAsia="zh-CN"/>
        </w:rPr>
        <w:t>503</w:t>
      </w:r>
      <w:r>
        <w:rPr>
          <w:rFonts w:hint="eastAsia" w:ascii="仿宋" w:hAnsi="仿宋" w:eastAsia="仿宋"/>
          <w:color w:val="auto"/>
          <w:sz w:val="32"/>
          <w:szCs w:val="32"/>
        </w:rPr>
        <w:t>人，较上年度减少1</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人，离休人员</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人，较上年度减少</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人,均为按政策正常增减差额形成。</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ind w:firstLine="420" w:firstLineChars="200"/>
        <w:rPr>
          <w:rFonts w:hint="default" w:ascii="仿宋" w:hAnsi="仿宋" w:eastAsia="仿宋"/>
          <w:color w:val="auto"/>
          <w:sz w:val="32"/>
          <w:szCs w:val="32"/>
          <w:lang w:val="en-US" w:eastAsia="zh-CN"/>
        </w:rPr>
      </w:pPr>
      <w:r>
        <w:rPr>
          <w:rFonts w:hint="eastAsia" w:ascii="黑体" w:hAnsi="黑体" w:eastAsia="黑体"/>
          <w:b w:val="0"/>
          <w:color w:val="auto"/>
          <w:highlight w:val="none"/>
          <w:lang w:val="en-US" w:eastAsia="zh-CN"/>
        </w:rPr>
        <w:t xml:space="preserve">  </w:t>
      </w:r>
      <w:r>
        <w:rPr>
          <w:rFonts w:hint="eastAsia" w:ascii="仿宋" w:hAnsi="仿宋" w:eastAsia="仿宋"/>
          <w:color w:val="auto"/>
          <w:sz w:val="32"/>
          <w:szCs w:val="32"/>
          <w:lang w:val="en-US" w:eastAsia="zh-CN"/>
        </w:rPr>
        <w:t>1.坚持党的全面领导，</w:t>
      </w:r>
      <w:r>
        <w:rPr>
          <w:rFonts w:hint="default" w:ascii="仿宋" w:hAnsi="仿宋" w:eastAsia="仿宋"/>
          <w:color w:val="auto"/>
          <w:sz w:val="32"/>
          <w:szCs w:val="32"/>
          <w:lang w:val="en-US" w:eastAsia="zh-CN"/>
        </w:rPr>
        <w:t>围绕“学党史、悟思想、办实事、开新局”目标要求，</w:t>
      </w:r>
      <w:r>
        <w:rPr>
          <w:rFonts w:hint="eastAsia" w:ascii="仿宋" w:hAnsi="仿宋" w:eastAsia="仿宋"/>
          <w:color w:val="auto"/>
          <w:sz w:val="32"/>
          <w:szCs w:val="32"/>
          <w:lang w:val="en-US" w:eastAsia="zh-CN"/>
        </w:rPr>
        <w:t>统筹</w:t>
      </w:r>
      <w:r>
        <w:rPr>
          <w:rFonts w:hint="default" w:ascii="仿宋" w:hAnsi="仿宋" w:eastAsia="仿宋"/>
          <w:color w:val="auto"/>
          <w:sz w:val="32"/>
          <w:szCs w:val="32"/>
          <w:lang w:val="en-US" w:eastAsia="zh-CN"/>
        </w:rPr>
        <w:t>做好疫情常态化防</w:t>
      </w:r>
      <w:r>
        <w:rPr>
          <w:rFonts w:hint="eastAsia" w:ascii="仿宋" w:hAnsi="仿宋" w:eastAsia="仿宋"/>
          <w:color w:val="auto"/>
          <w:sz w:val="32"/>
          <w:szCs w:val="32"/>
          <w:lang w:val="en-US" w:eastAsia="zh-CN"/>
        </w:rPr>
        <w:t>控，</w:t>
      </w:r>
      <w:r>
        <w:rPr>
          <w:rFonts w:hint="default" w:ascii="仿宋" w:hAnsi="仿宋" w:eastAsia="仿宋"/>
          <w:color w:val="auto"/>
          <w:sz w:val="32"/>
          <w:szCs w:val="32"/>
          <w:lang w:val="en-US" w:eastAsia="zh-CN"/>
        </w:rPr>
        <w:t>凝</w:t>
      </w:r>
      <w:r>
        <w:rPr>
          <w:rFonts w:hint="eastAsia" w:ascii="仿宋" w:hAnsi="仿宋" w:eastAsia="仿宋"/>
          <w:color w:val="auto"/>
          <w:sz w:val="32"/>
          <w:szCs w:val="32"/>
          <w:lang w:val="en-US" w:eastAsia="zh-CN"/>
        </w:rPr>
        <w:t>心</w:t>
      </w:r>
      <w:r>
        <w:rPr>
          <w:rFonts w:hint="default" w:ascii="仿宋" w:hAnsi="仿宋" w:eastAsia="仿宋"/>
          <w:color w:val="auto"/>
          <w:sz w:val="32"/>
          <w:szCs w:val="32"/>
          <w:lang w:val="en-US" w:eastAsia="zh-CN"/>
        </w:rPr>
        <w:t>聚</w:t>
      </w:r>
      <w:r>
        <w:rPr>
          <w:rFonts w:hint="eastAsia" w:ascii="仿宋" w:hAnsi="仿宋" w:eastAsia="仿宋"/>
          <w:color w:val="auto"/>
          <w:sz w:val="32"/>
          <w:szCs w:val="32"/>
          <w:lang w:val="en-US" w:eastAsia="zh-CN"/>
        </w:rPr>
        <w:t>气</w:t>
      </w:r>
      <w:r>
        <w:rPr>
          <w:rFonts w:hint="default" w:ascii="仿宋" w:hAnsi="仿宋" w:eastAsia="仿宋"/>
          <w:color w:val="auto"/>
          <w:sz w:val="32"/>
          <w:szCs w:val="32"/>
          <w:lang w:val="en-US" w:eastAsia="zh-CN"/>
        </w:rPr>
        <w:t>，为地勘经济高质量发展注入强大动能</w:t>
      </w:r>
      <w:r>
        <w:rPr>
          <w:rFonts w:hint="eastAsia" w:ascii="仿宋" w:hAnsi="仿宋" w:eastAsia="仿宋"/>
          <w:color w:val="auto"/>
          <w:sz w:val="32"/>
          <w:szCs w:val="32"/>
          <w:lang w:val="en-US" w:eastAsia="zh-CN"/>
        </w:rPr>
        <w:t>，实现党建与经营工作同频共振、同向发力，助力全队各项工作取得显著成效。</w:t>
      </w:r>
    </w:p>
    <w:p>
      <w:pPr>
        <w:ind w:firstLine="640" w:firstLineChars="200"/>
        <w:rPr>
          <w:rFonts w:hint="eastAsia" w:ascii="仿宋" w:hAnsi="仿宋" w:eastAsia="仿宋"/>
          <w:color w:val="auto"/>
          <w:sz w:val="32"/>
          <w:szCs w:val="32"/>
          <w:lang w:val="en-US" w:eastAsia="zh-CN"/>
        </w:rPr>
      </w:pPr>
      <w:bookmarkStart w:id="16" w:name="_Toc29887"/>
      <w:bookmarkStart w:id="17" w:name="_Toc20056"/>
      <w:r>
        <w:rPr>
          <w:rFonts w:hint="eastAsia" w:ascii="仿宋" w:hAnsi="仿宋" w:eastAsia="仿宋"/>
          <w:color w:val="auto"/>
          <w:sz w:val="32"/>
          <w:szCs w:val="32"/>
          <w:lang w:val="en-US" w:eastAsia="zh-CN"/>
        </w:rPr>
        <w:t>2.按照省委省政府和地矿局统一部署，以坚定的信心迎接改革，以实际行动支持改革，做好全队事业单位改革工作。</w:t>
      </w:r>
      <w:bookmarkEnd w:id="16"/>
      <w:bookmarkEnd w:id="17"/>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3.紧扣主责主业，夯实发展根基，不断拓宽传统地质服务领域，保障能源安全助力国家战略，高效抢险救灾为民排危解难，打赢“脱贫攻坚战”、赋能“乡村振兴”，在担当作为中彰显地勘单位使命。</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4.稳步发展新兴产业集群，以实现“碳达峰，碳中和”战略目标和构建国际国内双循环</w:t>
      </w:r>
      <w:r>
        <w:rPr>
          <w:rFonts w:hint="default" w:ascii="仿宋" w:hAnsi="仿宋" w:eastAsia="仿宋"/>
          <w:color w:val="auto"/>
          <w:sz w:val="32"/>
          <w:szCs w:val="32"/>
          <w:lang w:val="en-US" w:eastAsia="zh-CN"/>
        </w:rPr>
        <w:t>为契机，主动作为，积极融入成渝地区双城经济圈建</w:t>
      </w:r>
      <w:r>
        <w:rPr>
          <w:rFonts w:hint="eastAsia" w:ascii="仿宋" w:hAnsi="仿宋" w:eastAsia="仿宋"/>
          <w:color w:val="auto"/>
          <w:sz w:val="32"/>
          <w:szCs w:val="32"/>
          <w:lang w:val="en-US" w:eastAsia="zh-CN"/>
        </w:rPr>
        <w:t>设，引战投资助推环保产业，探索高质量发展之路，谋篇布局新能源，借力地勘能力装备提升助推地热产业升级</w:t>
      </w:r>
      <w:r>
        <w:rPr>
          <w:rFonts w:hint="default" w:ascii="仿宋" w:hAnsi="仿宋" w:eastAsia="仿宋"/>
          <w:color w:val="auto"/>
          <w:sz w:val="32"/>
          <w:szCs w:val="32"/>
          <w:lang w:val="en-US" w:eastAsia="zh-CN"/>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5.扎实推动科研，切实加强科技创新对地质产业的引领推动作用，切实提升我单位科技实力。</w:t>
      </w:r>
    </w:p>
    <w:p>
      <w:pPr>
        <w:pStyle w:val="4"/>
        <w:numPr>
          <w:ilvl w:val="0"/>
          <w:numId w:val="0"/>
        </w:numPr>
        <w:rPr>
          <w:rFonts w:hint="eastAsia" w:ascii="黑体" w:hAnsi="黑体" w:eastAsia="黑体"/>
          <w:b w:val="0"/>
          <w:color w:val="auto"/>
          <w:highlight w:val="none"/>
          <w:lang w:eastAsia="zh-CN"/>
        </w:rPr>
      </w:pPr>
      <w:bookmarkStart w:id="18" w:name="_Toc15377204"/>
      <w:bookmarkStart w:id="19" w:name="_Toc15396602"/>
      <w:r>
        <w:rPr>
          <w:rFonts w:hint="eastAsia" w:ascii="黑体" w:hAnsi="黑体" w:eastAsia="黑体"/>
          <w:b w:val="0"/>
          <w:color w:val="auto"/>
          <w:highlight w:val="none"/>
          <w:lang w:val="en-US" w:eastAsia="zh-CN"/>
        </w:rPr>
        <w:t>三、机构设置</w:t>
      </w:r>
      <w:r>
        <w:rPr>
          <w:rFonts w:hint="eastAsia" w:ascii="黑体" w:hAnsi="黑体" w:eastAsia="黑体"/>
          <w:b w:val="0"/>
          <w:color w:val="auto"/>
          <w:highlight w:val="none"/>
          <w:lang w:eastAsia="zh-CN"/>
        </w:rPr>
        <w:t>情况</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本单位由9个职能部门构成，分别是：综合管理部、党群工作部、纪检监察室、财务部、质量安全环境部、市场管理部、审计部、事业发展部、科技创新部。</w:t>
      </w:r>
    </w:p>
    <w:p>
      <w:pPr>
        <w:pStyle w:val="3"/>
        <w:ind w:right="440"/>
        <w:jc w:val="both"/>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rPr>
          <w:rFonts w:hint="eastAsia" w:ascii="黑体" w:hAnsi="黑体" w:eastAsia="黑体"/>
          <w:b w:val="0"/>
          <w:bCs/>
          <w:color w:val="auto"/>
          <w:highlight w:val="none"/>
        </w:rPr>
      </w:pPr>
    </w:p>
    <w:p>
      <w:pPr>
        <w:pStyle w:val="2"/>
        <w:rPr>
          <w:rFonts w:hint="eastAsia" w:ascii="黑体" w:hAnsi="黑体" w:eastAsia="黑体"/>
          <w:b w:val="0"/>
          <w:bCs/>
          <w:color w:val="auto"/>
          <w:highlight w:val="none"/>
        </w:rPr>
      </w:pPr>
    </w:p>
    <w:p>
      <w:pPr>
        <w:rPr>
          <w:rFonts w:hint="eastAsia"/>
        </w:rPr>
      </w:pPr>
    </w:p>
    <w:p>
      <w:pPr>
        <w:pStyle w:val="3"/>
        <w:ind w:right="440"/>
        <w:jc w:val="center"/>
        <w:rPr>
          <w:rStyle w:val="25"/>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8"/>
      <w:bookmarkEnd w:id="19"/>
    </w:p>
    <w:p>
      <w:pPr>
        <w:rPr>
          <w:color w:val="auto"/>
          <w:highlight w:val="none"/>
        </w:rPr>
      </w:pPr>
    </w:p>
    <w:p>
      <w:pPr>
        <w:pStyle w:val="24"/>
        <w:numPr>
          <w:ilvl w:val="0"/>
          <w:numId w:val="2"/>
        </w:numPr>
        <w:spacing w:line="600" w:lineRule="exact"/>
        <w:ind w:firstLineChars="0"/>
        <w:outlineLvl w:val="1"/>
        <w:rPr>
          <w:rFonts w:hint="eastAsia" w:ascii="仿宋" w:hAnsi="仿宋" w:eastAsia="仿宋"/>
          <w:color w:val="auto"/>
          <w:sz w:val="32"/>
          <w:szCs w:val="32"/>
          <w:highlight w:val="none"/>
        </w:rPr>
      </w:pPr>
      <w:bookmarkStart w:id="20" w:name="_Toc15377205"/>
      <w:bookmarkStart w:id="21"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0"/>
      <w:bookmarkEnd w:id="21"/>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度收、支总计8549.23万元。与2020年的11127.11万元相比，收、支总计各减少2577.88万元，下降23.17%。主要变动原因是减少了2020年第四批生态环境保护资金1699.72万元、2020年重点行业企业用地土壤调查项目2445.00万元；新增2020年度地勘单位能力提升装备购置项目1000万元，其余为正常增减变动。</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收、支决算总计变动情况图如下：</w:t>
      </w:r>
    </w:p>
    <w:p>
      <w:pPr>
        <w:pStyle w:val="2"/>
      </w:pPr>
      <w:r>
        <w:drawing>
          <wp:inline distT="0" distB="0" distL="114300" distR="114300">
            <wp:extent cx="5247640" cy="2885440"/>
            <wp:effectExtent l="4445" t="4445" r="5715" b="57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Fonts w:ascii="仿宋" w:hAnsi="仿宋" w:eastAsia="仿宋"/>
          <w:color w:val="auto"/>
          <w:sz w:val="32"/>
          <w:szCs w:val="32"/>
          <w:highlight w:val="none"/>
        </w:rPr>
      </w:pPr>
      <w:bookmarkStart w:id="22" w:name="_Toc15377206"/>
      <w:bookmarkStart w:id="23"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2"/>
      <w:bookmarkEnd w:id="23"/>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2021年本年收入合计7843.77万元，其中：一般公共预算财政拨款收入7666.45万元，占97.74%；经营收入169.23万元，占2.16%；其他收入8.09万元，占0.1%。</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收入决算结构图如下：</w:t>
      </w:r>
    </w:p>
    <w:p>
      <w:pPr>
        <w:pStyle w:val="2"/>
      </w:pPr>
      <w:r>
        <w:drawing>
          <wp:inline distT="0" distB="0" distL="114300" distR="114300">
            <wp:extent cx="5171440" cy="2671445"/>
            <wp:effectExtent l="4445" t="4445" r="5715" b="1651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pStyle w:val="24"/>
        <w:numPr>
          <w:ilvl w:val="0"/>
          <w:numId w:val="2"/>
        </w:numPr>
        <w:spacing w:line="600" w:lineRule="exact"/>
        <w:ind w:firstLineChars="0"/>
        <w:outlineLvl w:val="1"/>
        <w:rPr>
          <w:rFonts w:ascii="仿宋" w:hAnsi="仿宋" w:eastAsia="仿宋"/>
          <w:color w:val="auto"/>
          <w:sz w:val="32"/>
          <w:szCs w:val="32"/>
          <w:highlight w:val="none"/>
        </w:rPr>
      </w:pPr>
      <w:bookmarkStart w:id="24" w:name="_Toc15377207"/>
      <w:bookmarkStart w:id="25"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4"/>
      <w:bookmarkEnd w:id="25"/>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2021年本年支出合计8549.23万元，其中：基本支出6872.77万元，占80.39%；项目支出1651.22万元，占19.31%；经营支出25.24万元，占0.30%。</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支出决算结构图如下：</w:t>
      </w:r>
    </w:p>
    <w:p>
      <w:pPr>
        <w:pStyle w:val="2"/>
        <w:rPr>
          <w:rFonts w:hint="eastAsia" w:ascii="黑体" w:hAnsi="黑体" w:eastAsia="黑体"/>
          <w:color w:val="auto"/>
          <w:sz w:val="32"/>
          <w:szCs w:val="32"/>
          <w:highlight w:val="none"/>
        </w:rPr>
      </w:pPr>
      <w:r>
        <w:drawing>
          <wp:inline distT="0" distB="0" distL="114300" distR="114300">
            <wp:extent cx="5237480" cy="2682875"/>
            <wp:effectExtent l="4445" t="4445" r="1587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6" w:name="_Toc15377208"/>
      <w:bookmarkStart w:id="27" w:name="_Toc15396606"/>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ascii="仿宋" w:hAnsi="仿宋" w:eastAsia="仿宋"/>
          <w:color w:val="auto"/>
          <w:sz w:val="32"/>
          <w:szCs w:val="32"/>
          <w:highlight w:val="none"/>
        </w:rPr>
      </w:pPr>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6"/>
      <w:bookmarkEnd w:id="27"/>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财政拨款收、支总计7666.45万元。与2020年相比，财政拨款收、支总计各减少2428.51万元，下降24.06%。主要变动原因是2021年减少了四川省重点行业企业用地调查采样项目的2445.00万元和第四批生态环境保护资金1699.72万元；增加了2020年度地勘单位能力提升装备购置项目1000万元，其余为正常增减变动。</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财政拨款收、支决算总计变动情况如下图：</w:t>
      </w:r>
    </w:p>
    <w:p>
      <w:pPr>
        <w:rPr>
          <w:rFonts w:hint="eastAsia"/>
          <w:lang w:val="en-US" w:eastAsia="zh-CN"/>
        </w:rPr>
      </w:pPr>
    </w:p>
    <w:p>
      <w:pPr>
        <w:pStyle w:val="2"/>
      </w:pPr>
      <w:r>
        <w:drawing>
          <wp:inline distT="0" distB="0" distL="114300" distR="114300">
            <wp:extent cx="5257800" cy="2733675"/>
            <wp:effectExtent l="4445" t="4445" r="14605"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outlineLvl w:val="1"/>
        <w:rPr>
          <w:rFonts w:hint="eastAsia" w:ascii="黑体" w:hAnsi="黑体" w:eastAsia="黑体"/>
          <w:color w:val="auto"/>
          <w:sz w:val="32"/>
          <w:szCs w:val="32"/>
          <w:highlight w:val="none"/>
        </w:rPr>
      </w:pPr>
      <w:bookmarkStart w:id="28" w:name="_Toc15377209"/>
      <w:bookmarkStart w:id="29" w:name="_Toc15396607"/>
    </w:p>
    <w:p>
      <w:pPr>
        <w:spacing w:line="600" w:lineRule="exact"/>
        <w:ind w:firstLine="640" w:firstLineChars="200"/>
        <w:outlineLvl w:val="1"/>
        <w:rPr>
          <w:rFonts w:hint="eastAsia" w:ascii="仿宋" w:hAnsi="仿宋" w:eastAsia="仿宋"/>
          <w:b/>
          <w:color w:val="auto"/>
          <w:sz w:val="32"/>
          <w:szCs w:val="32"/>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8"/>
      <w:bookmarkEnd w:id="29"/>
      <w:bookmarkStart w:id="30" w:name="_Toc15377210"/>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bookmarkEnd w:id="30"/>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一般公共预算财政拨款支出7666.45万元，占本年支出合计的89.67%。与2020年相比，一般公共预算财政拨款支出减少2428.51万元，下降24.06%。主要变动原因是减少了节能环保污染防治支出4144.72万元，增加了事业单位养老支出离退休费用746.37万元，减少了卫生健康支出事业单位医疗费用177.55万元，增加了资源勘探业支出1000万元，增加了住房保障支出购房补贴346.08万元。</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一般公共预算财政拨款支出决算变动情况如下图：</w:t>
      </w:r>
    </w:p>
    <w:p>
      <w:pPr>
        <w:pStyle w:val="2"/>
        <w:rPr>
          <w:rFonts w:hint="eastAsia"/>
          <w:lang w:val="en-US" w:eastAsia="zh-CN"/>
        </w:rPr>
      </w:pPr>
    </w:p>
    <w:p>
      <w:pPr>
        <w:pStyle w:val="2"/>
        <w:rPr>
          <w:rFonts w:hint="default"/>
          <w:lang w:val="en-US" w:eastAsia="zh-CN"/>
        </w:rPr>
      </w:pPr>
      <w:r>
        <w:drawing>
          <wp:inline distT="0" distB="0" distL="114300" distR="114300">
            <wp:extent cx="5266055" cy="2657475"/>
            <wp:effectExtent l="4445" t="4445" r="6350"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lang w:val="en-US" w:eastAsia="zh-CN"/>
        </w:rPr>
        <w:t>2021年一般公共预算财政拨款支出7666.45万元，主要用于以下方面:</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w:t>
      </w:r>
      <w:r>
        <w:rPr>
          <w:rFonts w:hint="eastAsia" w:ascii="仿宋" w:hAnsi="仿宋" w:eastAsia="仿宋"/>
          <w:color w:val="auto"/>
          <w:sz w:val="32"/>
          <w:szCs w:val="32"/>
          <w:lang w:val="en-US" w:eastAsia="zh-CN"/>
        </w:rPr>
        <w:t>出2100.11万元，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27.39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236.92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资源勘探工业信息等</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3914.74万元，占51.07%；</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1374.68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ind w:firstLine="640" w:firstLineChars="200"/>
        <w:rPr>
          <w:rFonts w:hint="eastAsia" w:ascii="仿宋" w:hAnsi="仿宋" w:eastAsia="仿宋" w:cs="Times New Roman"/>
          <w:color w:val="auto"/>
          <w:kern w:val="2"/>
          <w:sz w:val="32"/>
          <w:szCs w:val="32"/>
          <w:lang w:val="en-US" w:eastAsia="zh-CN" w:bidi="ar-SA"/>
        </w:rPr>
      </w:pPr>
    </w:p>
    <w:p>
      <w:pPr>
        <w:pStyle w:val="2"/>
        <w:ind w:firstLine="640" w:firstLineChars="200"/>
        <w:rPr>
          <w:rFonts w:hint="eastAsia" w:ascii="仿宋" w:hAnsi="仿宋" w:eastAsia="仿宋" w:cs="Times New Roman"/>
          <w:color w:val="auto"/>
          <w:kern w:val="2"/>
          <w:sz w:val="32"/>
          <w:szCs w:val="32"/>
          <w:lang w:val="en-US" w:eastAsia="zh-CN" w:bidi="ar-SA"/>
        </w:rPr>
      </w:pPr>
    </w:p>
    <w:p>
      <w:pPr>
        <w:pStyle w:val="2"/>
        <w:ind w:firstLine="640" w:firstLineChars="200"/>
        <w:rPr>
          <w:rFonts w:hint="eastAsia" w:eastAsia="仿宋"/>
          <w:highlight w:val="none"/>
          <w:lang w:eastAsia="zh-CN"/>
        </w:rPr>
      </w:pPr>
      <w:r>
        <w:rPr>
          <w:rFonts w:hint="eastAsia" w:ascii="仿宋" w:hAnsi="仿宋" w:eastAsia="仿宋" w:cs="Times New Roman"/>
          <w:color w:val="auto"/>
          <w:kern w:val="2"/>
          <w:sz w:val="32"/>
          <w:szCs w:val="32"/>
          <w:lang w:val="en-US" w:eastAsia="zh-CN" w:bidi="ar-SA"/>
        </w:rPr>
        <w:t>一般公共预算财政拨款支出决算结构图如下：</w:t>
      </w:r>
    </w:p>
    <w:p>
      <w:pPr>
        <w:pStyle w:val="2"/>
        <w:rPr>
          <w:rFonts w:hint="eastAsia"/>
        </w:rPr>
      </w:pPr>
      <w:r>
        <w:drawing>
          <wp:inline distT="0" distB="0" distL="114300" distR="114300">
            <wp:extent cx="5237480" cy="2752725"/>
            <wp:effectExtent l="4445" t="4445" r="15875"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bookmarkStart w:id="33" w:name="_Toc15377444"/>
      <w:bookmarkStart w:id="34" w:name="_Toc15378460"/>
      <w:bookmarkStart w:id="35" w:name="_Toc15377213"/>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7666.45万元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3"/>
      <w:bookmarkEnd w:id="34"/>
      <w:bookmarkEnd w:id="35"/>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科学技术（类）</w:t>
      </w:r>
      <w:r>
        <w:rPr>
          <w:rStyle w:val="15"/>
          <w:rFonts w:hint="eastAsia" w:ascii="仿宋" w:hAnsi="仿宋" w:eastAsia="仿宋"/>
          <w:bCs/>
          <w:color w:val="auto"/>
          <w:sz w:val="32"/>
          <w:szCs w:val="32"/>
          <w:highlight w:val="none"/>
          <w:lang w:eastAsia="zh-CN"/>
        </w:rPr>
        <w:t>科技重大项目</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重点研发计划</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事业单位离退休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1053.61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机关事业单位基本养老保险缴费</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655.92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机关事业单位职业年金缴费</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327.96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其他社会保障和就业</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其他社会保障和就业</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62.62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Style w:val="15"/>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236.92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Style w:val="15"/>
          <w:rFonts w:hint="eastAsia" w:ascii="仿宋" w:hAnsi="仿宋" w:eastAsia="仿宋"/>
          <w:b w:val="0"/>
          <w:bCs/>
          <w:color w:val="auto"/>
          <w:sz w:val="32"/>
          <w:szCs w:val="32"/>
          <w:highlight w:val="none"/>
        </w:rPr>
      </w:pPr>
      <w:r>
        <w:rPr>
          <w:rFonts w:hint="eastAsia" w:ascii="仿宋" w:hAnsi="仿宋" w:eastAsia="仿宋" w:cs="Times New Roman"/>
          <w:b/>
          <w:bCs/>
          <w:color w:val="auto"/>
          <w:kern w:val="2"/>
          <w:sz w:val="32"/>
          <w:szCs w:val="32"/>
          <w:highlight w:val="none"/>
          <w:lang w:val="en-US" w:eastAsia="zh-CN" w:bidi="ar-SA"/>
        </w:rPr>
        <w:t>7.</w:t>
      </w:r>
      <w:r>
        <w:rPr>
          <w:rFonts w:hint="eastAsia" w:ascii="仿宋" w:hAnsi="仿宋" w:eastAsia="仿宋"/>
          <w:b/>
          <w:bCs/>
          <w:color w:val="auto"/>
          <w:sz w:val="32"/>
          <w:szCs w:val="32"/>
          <w:highlight w:val="none"/>
          <w:lang w:eastAsia="zh-CN"/>
        </w:rPr>
        <w:t>资源勘探工业信息等</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资源勘探开发</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其他资源勘探业</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3914.75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Fonts w:ascii="仿宋" w:hAnsi="仿宋" w:eastAsia="仿宋"/>
          <w:b/>
          <w:color w:val="auto"/>
          <w:sz w:val="32"/>
          <w:szCs w:val="32"/>
          <w:highlight w:val="none"/>
        </w:rPr>
      </w:pPr>
      <w:r>
        <w:rPr>
          <w:rFonts w:hint="eastAsia" w:ascii="仿宋" w:hAnsi="仿宋" w:eastAsia="仿宋" w:cs="Times New Roman"/>
          <w:b/>
          <w:bCs/>
          <w:color w:val="auto"/>
          <w:kern w:val="2"/>
          <w:sz w:val="32"/>
          <w:szCs w:val="32"/>
          <w:highlight w:val="none"/>
          <w:lang w:val="en-US" w:eastAsia="zh-CN" w:bidi="ar-SA"/>
        </w:rPr>
        <w:t>8.</w:t>
      </w:r>
      <w:r>
        <w:rPr>
          <w:rFonts w:hint="eastAsia" w:ascii="仿宋" w:hAnsi="仿宋" w:eastAsia="仿宋"/>
          <w:b/>
          <w:bCs/>
          <w:color w:val="auto"/>
          <w:sz w:val="32"/>
          <w:szCs w:val="32"/>
          <w:highlight w:val="none"/>
          <w:lang w:eastAsia="zh-CN"/>
        </w:rPr>
        <w:t>住房保障支出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住房改革支出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住房公积金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499.37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Fonts w:hint="eastAsia" w:ascii="仿宋" w:hAnsi="仿宋" w:eastAsia="仿宋"/>
          <w:b/>
          <w:bCs/>
          <w:color w:val="auto"/>
          <w:sz w:val="32"/>
          <w:szCs w:val="32"/>
          <w:highlight w:val="none"/>
          <w:lang w:eastAsia="zh-CN"/>
        </w:rPr>
        <w:t>住房保障支出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住房改革支出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购房补贴</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875.30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Fonts w:hint="eastAsia" w:ascii="黑体" w:eastAsia="黑体"/>
          <w:color w:val="auto"/>
          <w:sz w:val="32"/>
          <w:szCs w:val="32"/>
          <w:highlight w:val="none"/>
        </w:rPr>
      </w:pPr>
      <w:bookmarkStart w:id="36" w:name="_Toc15377214"/>
      <w:bookmarkStart w:id="37" w:name="_Toc15396608"/>
    </w:p>
    <w:p>
      <w:pPr>
        <w:tabs>
          <w:tab w:val="right" w:pos="8306"/>
        </w:tabs>
        <w:spacing w:line="600" w:lineRule="exact"/>
        <w:ind w:firstLine="640"/>
        <w:outlineLvl w:val="1"/>
        <w:rPr>
          <w:rStyle w:val="26"/>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6"/>
      <w:bookmarkEnd w:id="37"/>
      <w:r>
        <w:rPr>
          <w:rStyle w:val="26"/>
          <w:rFonts w:ascii="黑体" w:hAnsi="黑体" w:eastAsia="黑体"/>
          <w:b w:val="0"/>
          <w:color w:val="auto"/>
          <w:highlight w:val="none"/>
        </w:rPr>
        <w:tab/>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2021年一般公共预算财政拨款基本支出6615.45万元，其中：</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人员经费6464.54万元，主要包括：基本工资、津贴补贴、机关事业单位基本养老保险缴费、职业年金缴费、职工基本医疗保险缴费、其他社会保障缴费、住房公积金、其他工资福利支出、离休费、退休费、生活补助、奖励金、其他对个人和家庭的补助。</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公用经费150.91万元，主要包括：维修（护）费、工会经费、福利费、其他商品和服务支出。</w:t>
      </w:r>
    </w:p>
    <w:p>
      <w:pPr>
        <w:spacing w:line="600" w:lineRule="exact"/>
        <w:ind w:firstLine="640"/>
        <w:outlineLvl w:val="1"/>
        <w:rPr>
          <w:rFonts w:hint="eastAsia" w:ascii="黑体" w:eastAsia="黑体"/>
          <w:color w:val="auto"/>
          <w:sz w:val="32"/>
          <w:szCs w:val="32"/>
          <w:highlight w:val="none"/>
        </w:rPr>
      </w:pPr>
      <w:bookmarkStart w:id="38" w:name="_Toc15377215"/>
      <w:bookmarkStart w:id="39" w:name="_Toc15396609"/>
    </w:p>
    <w:p>
      <w:pPr>
        <w:spacing w:line="600" w:lineRule="exact"/>
        <w:ind w:firstLine="640"/>
        <w:outlineLvl w:val="1"/>
        <w:rPr>
          <w:rStyle w:val="26"/>
          <w:rFonts w:ascii="黑体" w:hAnsi="黑体" w:eastAsia="黑体"/>
          <w:b w:val="0"/>
          <w:color w:val="auto"/>
          <w:highlight w:val="none"/>
        </w:rPr>
      </w:pPr>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8"/>
      <w:bookmarkEnd w:id="39"/>
    </w:p>
    <w:p>
      <w:pPr>
        <w:ind w:firstLine="640" w:firstLineChars="200"/>
        <w:rPr>
          <w:rFonts w:hint="eastAsia" w:ascii="仿宋" w:hAnsi="仿宋" w:eastAsia="仿宋"/>
          <w:color w:val="auto"/>
          <w:sz w:val="32"/>
          <w:szCs w:val="32"/>
          <w:lang w:val="en-US" w:eastAsia="zh-CN"/>
        </w:rPr>
      </w:pPr>
      <w:bookmarkStart w:id="40" w:name="_Toc15377218"/>
      <w:bookmarkStart w:id="41" w:name="_Toc15396610"/>
      <w:r>
        <w:rPr>
          <w:rFonts w:hint="eastAsia" w:ascii="仿宋" w:hAnsi="仿宋" w:eastAsia="仿宋"/>
          <w:color w:val="auto"/>
          <w:sz w:val="32"/>
          <w:szCs w:val="32"/>
          <w:lang w:val="en-US" w:eastAsia="zh-CN"/>
        </w:rPr>
        <w:t>本单位为事业单位，无三公经费。2020年三公经费为0，2021年三公经费为0，与上年度一致，与上年度相比无增减变化。</w:t>
      </w:r>
    </w:p>
    <w:p>
      <w:pPr>
        <w:spacing w:line="600" w:lineRule="exact"/>
        <w:ind w:firstLine="640"/>
        <w:outlineLvl w:val="1"/>
        <w:rPr>
          <w:rFonts w:hint="eastAsia" w:ascii="黑体" w:eastAsia="黑体"/>
          <w:color w:val="auto"/>
          <w:sz w:val="32"/>
          <w:szCs w:val="32"/>
          <w:highlight w:val="none"/>
        </w:rPr>
      </w:pPr>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hint="eastAsia" w:ascii="仿宋_GB2312" w:eastAsia="仿宋_GB2312"/>
          <w:color w:val="auto"/>
          <w:sz w:val="32"/>
          <w:szCs w:val="32"/>
          <w:highlight w:val="none"/>
        </w:rPr>
      </w:pPr>
      <w:r>
        <w:rPr>
          <w:rFonts w:hint="eastAsia" w:ascii="仿宋" w:hAnsi="仿宋" w:eastAsia="仿宋"/>
          <w:color w:val="auto"/>
          <w:sz w:val="32"/>
          <w:szCs w:val="32"/>
          <w:lang w:val="en-US" w:eastAsia="zh-CN"/>
        </w:rPr>
        <w:t>2021年政府性基金预算财政拨款支出0万元。</w:t>
      </w:r>
    </w:p>
    <w:p>
      <w:pPr>
        <w:pStyle w:val="2"/>
      </w:pP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2021年国有资本经营预算财政拨款支出0万元。</w:t>
      </w:r>
    </w:p>
    <w:p>
      <w:pPr>
        <w:pStyle w:val="2"/>
      </w:pP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2021年本单位不涉及。</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单位政府采购支出总额1600.12万元，其中：政府采购货物支出1600.12万元。主要用于通过购置国内技术先进、性价比较高的钻探设备（ZJ40及配套设备），进一步拓展地热能产业业务范围，提高地热能产业核心竞争力，提升地勘发展能力。授予中小企业合同金额1600.12万元，占政府采购支出总额的100%。其中：授予小微企业合同金额</w:t>
      </w:r>
      <w:bookmarkStart w:id="67" w:name="_GoBack"/>
      <w:bookmarkEnd w:id="67"/>
      <w:r>
        <w:rPr>
          <w:rFonts w:hint="eastAsia" w:ascii="仿宋" w:hAnsi="仿宋" w:eastAsia="仿宋"/>
          <w:color w:val="auto"/>
          <w:sz w:val="32"/>
          <w:szCs w:val="32"/>
          <w:lang w:val="en-US" w:eastAsia="zh-CN"/>
        </w:rPr>
        <w:t>0万元，占政府采购支出总额的0%。</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截至2021年12月31日，本单位共有车辆4辆，其中：其他用车4辆，其他用车主要是用于单位生产方面；单价50万元以上通用设备6台，单价100万元以上专用设备7台（套）。</w:t>
      </w:r>
    </w:p>
    <w:p>
      <w:pPr>
        <w:numPr>
          <w:ilvl w:val="0"/>
          <w:numId w:val="4"/>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pPr>
        <w:pStyle w:val="2"/>
        <w:numPr>
          <w:ilvl w:val="0"/>
          <w:numId w:val="0"/>
        </w:numPr>
        <w:rPr>
          <w:rFonts w:hint="default"/>
          <w:highlight w:val="none"/>
          <w:lang w:val="en-US" w:eastAsia="zh-CN"/>
        </w:rPr>
      </w:pPr>
      <w:r>
        <w:rPr>
          <w:rFonts w:hint="eastAsia"/>
          <w:highlight w:val="none"/>
          <w:lang w:val="en-US" w:eastAsia="zh-CN"/>
        </w:rPr>
        <w:t xml:space="preserve">     1</w:t>
      </w:r>
      <w:r>
        <w:rPr>
          <w:rFonts w:hint="eastAsia" w:ascii="仿宋" w:hAnsi="仿宋" w:eastAsia="仿宋" w:cs="Times New Roman"/>
          <w:color w:val="auto"/>
          <w:kern w:val="2"/>
          <w:sz w:val="32"/>
          <w:szCs w:val="32"/>
          <w:lang w:val="en-US" w:eastAsia="zh-CN" w:bidi="ar-SA"/>
        </w:rPr>
        <w:t>.预算绩效管理工作开展情况</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根据预算绩效管理要求，本单位在2021年度预算编制阶段，组织对2020年度地勘单位能力提升装备购置项目和大型复杂红层岩质滑坡灾变机理及防控技术研究（省重）2个项目开展了预算事前绩效评估，编制了绩效目标，预算执行过程中，选取2020年度地勘单位能力提升装备购置项目开展绩效监控，年终执行完毕后，对该项目开展了绩效目标完成情况自评。（详见第四部分 附件）。</w:t>
      </w:r>
    </w:p>
    <w:p>
      <w:pPr>
        <w:pStyle w:val="2"/>
        <w:ind w:firstLine="600"/>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w:t>
      </w:r>
    </w:p>
    <w:p>
      <w:pPr>
        <w:rPr>
          <w:rFonts w:hint="eastAsia" w:hAnsi="仿宋_GB2312" w:cs="仿宋_GB2312"/>
          <w:color w:val="auto"/>
          <w:sz w:val="32"/>
          <w:szCs w:val="32"/>
          <w:highlight w:val="none"/>
          <w:lang w:val="en-US" w:eastAsia="zh-CN"/>
        </w:rPr>
      </w:pPr>
    </w:p>
    <w:p>
      <w:pPr>
        <w:pStyle w:val="2"/>
        <w:rPr>
          <w:rFonts w:hint="eastAsia" w:hAnsi="仿宋_GB2312" w:cs="仿宋_GB2312"/>
          <w:color w:val="auto"/>
          <w:sz w:val="32"/>
          <w:szCs w:val="32"/>
          <w:highlight w:val="none"/>
          <w:lang w:val="en-US" w:eastAsia="zh-CN"/>
        </w:rPr>
      </w:pPr>
    </w:p>
    <w:p>
      <w:pPr>
        <w:rPr>
          <w:rFonts w:hint="eastAsia" w:hAnsi="仿宋_GB2312" w:cs="仿宋_GB2312"/>
          <w:color w:val="auto"/>
          <w:sz w:val="32"/>
          <w:szCs w:val="32"/>
          <w:highlight w:val="none"/>
          <w:lang w:val="en-US" w:eastAsia="zh-CN"/>
        </w:rPr>
      </w:pPr>
    </w:p>
    <w:p>
      <w:pPr>
        <w:pStyle w:val="2"/>
        <w:rPr>
          <w:rFonts w:hint="eastAsia" w:hAnsi="仿宋_GB2312" w:cs="仿宋_GB2312"/>
          <w:color w:val="auto"/>
          <w:sz w:val="32"/>
          <w:szCs w:val="32"/>
          <w:highlight w:val="none"/>
          <w:lang w:val="en-US" w:eastAsia="zh-CN"/>
        </w:rPr>
      </w:pPr>
    </w:p>
    <w:p>
      <w:pPr>
        <w:rPr>
          <w:rFonts w:hint="eastAsia" w:hAnsi="仿宋_GB2312" w:cs="仿宋_GB2312"/>
          <w:color w:val="auto"/>
          <w:sz w:val="32"/>
          <w:szCs w:val="32"/>
          <w:highlight w:val="none"/>
          <w:lang w:val="en-US" w:eastAsia="zh-CN"/>
        </w:rPr>
      </w:pPr>
    </w:p>
    <w:p>
      <w:pPr>
        <w:pStyle w:val="2"/>
        <w:rPr>
          <w:rFonts w:hint="eastAsia"/>
          <w:lang w:val="en-US" w:eastAsia="zh-CN"/>
        </w:rPr>
      </w:pPr>
    </w:p>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2.经营收入：指事业单位在专业业务活动及其辅助活动之外开展非独立核算经营活动取得的收入。</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3.其他收入：指单位取得的除上述收入以外的各项收入。 </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4.使用非财政拨款结余：指事业单位使用以前年度积累的非财政拨款结余弥补当年收支差额的金额。 </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5.科学技术（类）科技重大项目（款）重点研发计划（项）：指用于重点研发计划的有关经费支出。</w:t>
      </w:r>
    </w:p>
    <w:p>
      <w:pPr>
        <w:pStyle w:val="23"/>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.社会保障和就业（类）行政事业单位养老支出（款）事业单位离退休（项）：指反映事业单位开支的离退休经费。</w:t>
      </w:r>
    </w:p>
    <w:p>
      <w:pPr>
        <w:pStyle w:val="23"/>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.社会保障和就业（类）行政事业单位养老支出（款）机关事业单位基本养老保险缴费（项）：指反映机关事业单位实施养老保险制度由单位缴纳的基本养老保险费支出。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8.社会保障和就业（类）行政事业单位养老支出（款）机关事业单位职业年金缴费（项）:指反映机关事业单位实施养老保险制度由单位实际缴纳的职业年金支出。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9.社会保障和就业（类）其他社会保障和就业（款）其他社会保障和就业（项）:指反映除上述项目以外其他用于社会保障和就业方面的支出。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10.卫生健康（类）行政事业单位医疗（款）事业单位医疗（项）：指反映财政部门安排的事业单位基本医疗保险缴费经费，未参加医疗保险的事业单位的公费医疗经费，按国家规定享受离休人员待遇的医疗经费。</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11.资源勘探工业信息等（类）资源勘探开发（款）其他资源勘探业（项）：指反映除上述项目以外其他用于资源勘探业方面的支出。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12.住房保障支出（类）住房改革支出（款）住房公积金（项）:指反映行政事业单位按人力资源和社会保障部、财政部规定的基本工资和津贴补贴以及规定比例为职工缴纳的住房公积金；</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13.住房保障支出（类）住房改革支出（款）购房补贴（项）：指反映按房改政策规定，行政事业单位向符合条件职工（含离退休人员）军队（含武警）向转役复员离退休人员发放的用于购买住房的补贴。</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14.基本支出：指为保障机构正常运转、完成日常工作任务而发生的人员支出和公用支出。</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15.项目支出：指在基本支出之外为完成特定行政任务和事业发展目标所发生的支出。 </w:t>
      </w:r>
    </w:p>
    <w:p>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p>
      <w:pPr>
        <w:pStyle w:val="31"/>
        <w:spacing w:line="580" w:lineRule="exact"/>
        <w:ind w:firstLine="883"/>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2020年度地勘单位能力提升装备购置项目绩效自评</w:t>
      </w:r>
      <w:r>
        <w:rPr>
          <w:rFonts w:hint="eastAsia" w:ascii="方正小标宋简体" w:hAnsi="宋体" w:eastAsia="方正小标宋简体"/>
          <w:sz w:val="44"/>
          <w:szCs w:val="44"/>
          <w:lang w:val="en-US" w:eastAsia="zh-CN"/>
        </w:rPr>
        <w:t>表</w:t>
      </w:r>
    </w:p>
    <w:p>
      <w:pPr>
        <w:pStyle w:val="31"/>
        <w:spacing w:line="580" w:lineRule="exact"/>
        <w:ind w:firstLine="883"/>
        <w:jc w:val="center"/>
      </w:pPr>
      <w:r>
        <w:rPr>
          <w:rFonts w:hint="eastAsia" w:ascii="仿宋_GB2312" w:hAnsi="宋体" w:eastAsia="仿宋_GB2312"/>
          <w:color w:val="auto"/>
          <w:kern w:val="2"/>
          <w:sz w:val="32"/>
          <w:szCs w:val="32"/>
        </w:rPr>
        <w:t>（项目单位自评）</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9"/>
        <w:gridCol w:w="1020"/>
        <w:gridCol w:w="20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四川省地质矿产勘查开发局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四川省地质矿产勘查开发局成都水文地质工程地质队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2300.00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2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购置国内技术先进、性价比较高的钻探设备（ZJ40及配套设备），进一步拓展地热能产业业务范围，提高地热能产业核心竞争力，提升地勘发展能力。</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2021年11月完成设备交付，并投入到项目使用，当年签订合同金额4000万元，后续将承揽3800万项目收入，合计7800万元，提高了本单位地热开发能力，为四川省“双碳”产业，提供积极支持，获得较好的经济效益、社会效益、环境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6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0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购置专用设备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55"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设备验收合格率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设备交付使用时间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30"/>
                <w:szCs w:val="3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40"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30"/>
                <w:szCs w:val="30"/>
                <w:u w:val="none"/>
              </w:rPr>
            </w:pPr>
            <w:r>
              <w:rPr>
                <w:rFonts w:hint="eastAsia" w:ascii="仿宋_GB2312" w:hAnsi="仿宋_GB2312" w:eastAsia="仿宋_GB2312" w:cs="仿宋_GB2312"/>
                <w:i w:val="0"/>
                <w:color w:val="auto"/>
                <w:sz w:val="30"/>
                <w:szCs w:val="30"/>
                <w:u w:val="none"/>
              </w:rPr>
              <w:t>实现与该设备使用取得的项目收入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&gt;4500万元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7800万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提高专用设备新度系数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6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96%</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pPr>
        <w:pStyle w:val="4"/>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sdt>
      <w:sdtPr>
        <w:id w:val="-1994781956"/>
      </w:sdtPr>
      <w:sdtContent/>
    </w:sdt>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C8FBB"/>
    <w:multiLevelType w:val="singleLevel"/>
    <w:tmpl w:val="B0FC8FBB"/>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eastAsia"/>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D812F50"/>
    <w:multiLevelType w:val="singleLevel"/>
    <w:tmpl w:val="5D812F50"/>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jFmMzQzNzIxNTVlNTUyMWMxYTBjMzA4ZGM1O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2C3206"/>
    <w:rsid w:val="02A3576A"/>
    <w:rsid w:val="02F0156E"/>
    <w:rsid w:val="0367073C"/>
    <w:rsid w:val="04D229B8"/>
    <w:rsid w:val="05C438E3"/>
    <w:rsid w:val="067A7CBC"/>
    <w:rsid w:val="07223A34"/>
    <w:rsid w:val="07E82127"/>
    <w:rsid w:val="08404F36"/>
    <w:rsid w:val="09391505"/>
    <w:rsid w:val="09A454D4"/>
    <w:rsid w:val="0A2032A3"/>
    <w:rsid w:val="0B410E64"/>
    <w:rsid w:val="0B8A37D8"/>
    <w:rsid w:val="0C0B63EF"/>
    <w:rsid w:val="0CF06F2A"/>
    <w:rsid w:val="0D4D0FD2"/>
    <w:rsid w:val="0F96725D"/>
    <w:rsid w:val="10C055FF"/>
    <w:rsid w:val="118107EC"/>
    <w:rsid w:val="11DD6519"/>
    <w:rsid w:val="12EC0528"/>
    <w:rsid w:val="13355FDC"/>
    <w:rsid w:val="14AE2FA9"/>
    <w:rsid w:val="14C12454"/>
    <w:rsid w:val="14E25E4A"/>
    <w:rsid w:val="157E0A16"/>
    <w:rsid w:val="16BB723D"/>
    <w:rsid w:val="18015F3F"/>
    <w:rsid w:val="1BE8440E"/>
    <w:rsid w:val="1D155CEE"/>
    <w:rsid w:val="1D1F0A39"/>
    <w:rsid w:val="1D9D0293"/>
    <w:rsid w:val="1DF211A3"/>
    <w:rsid w:val="20425C92"/>
    <w:rsid w:val="2047463D"/>
    <w:rsid w:val="205A1B67"/>
    <w:rsid w:val="20F57F95"/>
    <w:rsid w:val="221A2624"/>
    <w:rsid w:val="240371BF"/>
    <w:rsid w:val="24831EEB"/>
    <w:rsid w:val="256619CC"/>
    <w:rsid w:val="25C741E6"/>
    <w:rsid w:val="27773A05"/>
    <w:rsid w:val="27842671"/>
    <w:rsid w:val="29FD04D3"/>
    <w:rsid w:val="2A9B4387"/>
    <w:rsid w:val="2ABE7A3E"/>
    <w:rsid w:val="2CDF70CF"/>
    <w:rsid w:val="2D8E7CB1"/>
    <w:rsid w:val="2E6718EF"/>
    <w:rsid w:val="2EFA178C"/>
    <w:rsid w:val="30B46D73"/>
    <w:rsid w:val="3138396A"/>
    <w:rsid w:val="319F7F4E"/>
    <w:rsid w:val="34627E5E"/>
    <w:rsid w:val="34B20CC7"/>
    <w:rsid w:val="37A679EE"/>
    <w:rsid w:val="381E0F70"/>
    <w:rsid w:val="389777DB"/>
    <w:rsid w:val="394A74A1"/>
    <w:rsid w:val="39AE70AB"/>
    <w:rsid w:val="3A1242E6"/>
    <w:rsid w:val="3C0C0783"/>
    <w:rsid w:val="3C616C4D"/>
    <w:rsid w:val="3DCC1381"/>
    <w:rsid w:val="3F42003E"/>
    <w:rsid w:val="3F5D7B66"/>
    <w:rsid w:val="3F9F3A96"/>
    <w:rsid w:val="402214C1"/>
    <w:rsid w:val="42957E13"/>
    <w:rsid w:val="439223F0"/>
    <w:rsid w:val="44C469D0"/>
    <w:rsid w:val="45D74AEB"/>
    <w:rsid w:val="4677789F"/>
    <w:rsid w:val="47046EAE"/>
    <w:rsid w:val="476954C4"/>
    <w:rsid w:val="47AC48AF"/>
    <w:rsid w:val="493C27E9"/>
    <w:rsid w:val="496F39ED"/>
    <w:rsid w:val="49FF41D3"/>
    <w:rsid w:val="4A192111"/>
    <w:rsid w:val="4AFD0337"/>
    <w:rsid w:val="4BE068DB"/>
    <w:rsid w:val="4BF6002B"/>
    <w:rsid w:val="4DE964F6"/>
    <w:rsid w:val="4EAC3D58"/>
    <w:rsid w:val="4ECE2238"/>
    <w:rsid w:val="4F2F6737"/>
    <w:rsid w:val="4F9F3ABC"/>
    <w:rsid w:val="4FB323AE"/>
    <w:rsid w:val="50350F29"/>
    <w:rsid w:val="51984A67"/>
    <w:rsid w:val="51DB4B86"/>
    <w:rsid w:val="51F9669A"/>
    <w:rsid w:val="528C1EA6"/>
    <w:rsid w:val="53105049"/>
    <w:rsid w:val="53C1559F"/>
    <w:rsid w:val="53D045E2"/>
    <w:rsid w:val="54527990"/>
    <w:rsid w:val="547E7570"/>
    <w:rsid w:val="5527753F"/>
    <w:rsid w:val="55333C3E"/>
    <w:rsid w:val="57497744"/>
    <w:rsid w:val="5B411CCC"/>
    <w:rsid w:val="5B730E27"/>
    <w:rsid w:val="5BA57918"/>
    <w:rsid w:val="5D1C02FB"/>
    <w:rsid w:val="5D7F2C8D"/>
    <w:rsid w:val="5F625DC9"/>
    <w:rsid w:val="605271E2"/>
    <w:rsid w:val="61CB5BF9"/>
    <w:rsid w:val="61EF024D"/>
    <w:rsid w:val="62027B6C"/>
    <w:rsid w:val="642E4396"/>
    <w:rsid w:val="64CA39A1"/>
    <w:rsid w:val="65490C94"/>
    <w:rsid w:val="65554CF2"/>
    <w:rsid w:val="65EF1435"/>
    <w:rsid w:val="673B73C5"/>
    <w:rsid w:val="693A31F6"/>
    <w:rsid w:val="6BB90946"/>
    <w:rsid w:val="6C4A05C8"/>
    <w:rsid w:val="6C80207E"/>
    <w:rsid w:val="6CBB4938"/>
    <w:rsid w:val="6CF8761B"/>
    <w:rsid w:val="6D77157D"/>
    <w:rsid w:val="6D7C522B"/>
    <w:rsid w:val="6F550161"/>
    <w:rsid w:val="6F683873"/>
    <w:rsid w:val="70A039BC"/>
    <w:rsid w:val="72734D90"/>
    <w:rsid w:val="73D7228F"/>
    <w:rsid w:val="74066BC0"/>
    <w:rsid w:val="757E3D89"/>
    <w:rsid w:val="76051595"/>
    <w:rsid w:val="762E77B7"/>
    <w:rsid w:val="7713623D"/>
    <w:rsid w:val="79547FF4"/>
    <w:rsid w:val="79E7B28D"/>
    <w:rsid w:val="7A104EF7"/>
    <w:rsid w:val="7A8906E5"/>
    <w:rsid w:val="7B3A58B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rPr>
  </w:style>
  <w:style w:type="paragraph" w:customStyle="1" w:styleId="32">
    <w:name w:val="无间隔1"/>
    <w:qFormat/>
    <w:uiPriority w:val="0"/>
    <w:pPr>
      <w:adjustRightInd w:val="0"/>
      <w:snapToGrid w:val="0"/>
      <w:ind w:firstLine="150" w:firstLineChars="150"/>
    </w:pPr>
    <w:rPr>
      <w:rFonts w:ascii="Tahoma" w:hAnsi="Tahoma" w:eastAsia="仿宋" w:cs="Times New Roman"/>
      <w:sz w:val="1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lenovo\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032;&#24314;%20XLSX%20&#24037;&#20316;&#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2.xml"/><Relationship Id="rId1" Type="http://schemas.openxmlformats.org/officeDocument/2006/relationships/oleObject" Target="file:///C:\Users\lenovo\Desktop\&#26032;&#24314;%20XLSX%20&#24037;&#20316;&#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3.xml"/><Relationship Id="rId1" Type="http://schemas.openxmlformats.org/officeDocument/2006/relationships/oleObject" Target="file:///C:\Users\lenovo\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工作表.xlsx]Sheet1'!$D$18</c:f>
              <c:strCache>
                <c:ptCount val="1"/>
                <c:pt idx="0">
                  <c:v>收、支决算总计变动情况图</c:v>
                </c:pt>
              </c:strCache>
            </c:strRef>
          </c:tx>
          <c:spPr>
            <a:solidFill>
              <a:schemeClr val="accent1"/>
            </a:solidFill>
            <a:ln>
              <a:noFill/>
            </a:ln>
            <a:effectLst>
              <a:outerShdw blurRad="50800" dist="38100" dir="5400000" algn="ctr" rotWithShape="0">
                <a:srgbClr val="000000">
                  <a:alpha val="43000"/>
                </a:srgbClr>
              </a:outerShdw>
            </a:effectLst>
          </c:spPr>
          <c:invertIfNegative val="0"/>
          <c:dPt>
            <c:idx val="0"/>
            <c:invertIfNegative val="0"/>
            <c:bubble3D val="0"/>
            <c:spPr>
              <a:solidFill>
                <a:schemeClr val="accent3"/>
              </a:solidFill>
              <a:ln>
                <a:noFill/>
              </a:ln>
              <a:effectLst>
                <a:outerShdw blurRad="50800" dist="38100" dir="5400000" algn="ctr" rotWithShape="0">
                  <a:srgbClr val="000000">
                    <a:alpha val="43000"/>
                  </a:srgbClr>
                </a:outerShdw>
              </a:effectLst>
            </c:spPr>
          </c:dPt>
          <c:dPt>
            <c:idx val="1"/>
            <c:invertIfNegative val="0"/>
            <c:bubble3D val="0"/>
            <c:spPr>
              <a:solidFill>
                <a:schemeClr val="accent6">
                  <a:lumMod val="75000"/>
                </a:schemeClr>
              </a:solidFill>
              <a:ln>
                <a:noFill/>
              </a:ln>
              <a:effectLst>
                <a:outerShdw blurRad="50800" dist="38100" dir="5400000" algn="ctr" rotWithShape="0">
                  <a:srgbClr val="000000">
                    <a:alpha val="43000"/>
                  </a:srgbClr>
                </a:outerShdw>
              </a:effectLst>
            </c:spPr>
          </c:dPt>
          <c:dLbls>
            <c:dLbl>
              <c:idx val="0"/>
              <c:layout>
                <c:manualLayout>
                  <c:x val="-0.00625"/>
                  <c:y val="-0.37847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工作表.xlsx]Sheet1'!$C$19:$C$20</c:f>
              <c:strCache>
                <c:ptCount val="2"/>
                <c:pt idx="0">
                  <c:v>2020年</c:v>
                </c:pt>
                <c:pt idx="1">
                  <c:v>2021年</c:v>
                </c:pt>
              </c:strCache>
            </c:strRef>
          </c:cat>
          <c:val>
            <c:numRef>
              <c:f>'[新建 XLSX 工作表.xlsx]Sheet1'!$D$19:$D$20</c:f>
              <c:numCache>
                <c:formatCode>General</c:formatCode>
                <c:ptCount val="2"/>
                <c:pt idx="0">
                  <c:v>11127.11</c:v>
                </c:pt>
                <c:pt idx="1">
                  <c:v>8549.23</c:v>
                </c:pt>
              </c:numCache>
            </c:numRef>
          </c:val>
        </c:ser>
        <c:dLbls>
          <c:showLegendKey val="0"/>
          <c:showVal val="1"/>
          <c:showCatName val="0"/>
          <c:showSerName val="0"/>
          <c:showPercent val="0"/>
          <c:showBubbleSize val="0"/>
        </c:dLbls>
        <c:gapWidth val="331"/>
        <c:overlap val="98"/>
        <c:axId val="435455058"/>
        <c:axId val="693994106"/>
      </c:barChart>
      <c:catAx>
        <c:axId val="4354550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994106"/>
        <c:crosses val="autoZero"/>
        <c:auto val="1"/>
        <c:lblAlgn val="ctr"/>
        <c:lblOffset val="100"/>
        <c:noMultiLvlLbl val="0"/>
      </c:catAx>
      <c:valAx>
        <c:axId val="6939941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4550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lumMod val="75000"/>
                    <a:lumOff val="25000"/>
                  </a:schemeClr>
                </a:solidFill>
                <a:uFillTx/>
              </a:rPr>
              <a:t>收入决算结构图</a:t>
            </a:r>
            <a:endParaRPr b="1">
              <a:solidFill>
                <a:schemeClr val="tx1">
                  <a:lumMod val="75000"/>
                  <a:lumOff val="25000"/>
                </a:schemeClr>
              </a:solidFill>
              <a:uFillTx/>
            </a:endParaRPr>
          </a:p>
        </c:rich>
      </c:tx>
      <c:layout>
        <c:manualLayout>
          <c:xMode val="edge"/>
          <c:yMode val="edge"/>
          <c:x val="0.0343055555555556"/>
          <c:y val="0.0486111111111111"/>
        </c:manualLayout>
      </c:layout>
      <c:overlay val="0"/>
      <c:spPr>
        <a:noFill/>
        <a:ln>
          <a:noFill/>
        </a:ln>
        <a:effectLst/>
      </c:spPr>
    </c:title>
    <c:autoTitleDeleted val="0"/>
    <c:plotArea>
      <c:layout/>
      <c:pieChart>
        <c:varyColors val="1"/>
        <c:ser>
          <c:idx val="0"/>
          <c:order val="0"/>
          <c:tx>
            <c:strRef>
              <c:f>'[新建 XLSX 工作表.xlsx]Sheet1'!$D$37</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3125"/>
                  <c:y val="-0.006944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4166666666667"/>
                  <c:y val="-0.003472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工作表.xlsx]Sheet1'!$C$38:$C$40</c:f>
              <c:strCache>
                <c:ptCount val="3"/>
                <c:pt idx="0">
                  <c:v>财政拨款收入</c:v>
                </c:pt>
                <c:pt idx="1">
                  <c:v>经营收入</c:v>
                </c:pt>
                <c:pt idx="2">
                  <c:v>其他收入</c:v>
                </c:pt>
              </c:strCache>
            </c:strRef>
          </c:cat>
          <c:val>
            <c:numRef>
              <c:f>'[新建 XLSX 工作表.xlsx]Sheet1'!$D$38:$D$40</c:f>
              <c:numCache>
                <c:formatCode>0.00%</c:formatCode>
                <c:ptCount val="3"/>
                <c:pt idx="0">
                  <c:v>0.9774</c:v>
                </c:pt>
                <c:pt idx="1">
                  <c:v>0.0216</c:v>
                </c:pt>
                <c:pt idx="2">
                  <c:v>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'[新建 XLSX 工作表.xlsx]Sheet1'!$D$62</c:f>
              <c:strCache>
                <c:ptCount val="1"/>
                <c:pt idx="0">
                  <c:v>支出决算结构图</c:v>
                </c:pt>
              </c:strCache>
            </c:strRef>
          </c:tx>
          <c:spPr>
            <a:solidFill>
              <a:schemeClr val="accent6">
                <a:lumMod val="75000"/>
              </a:schemeClr>
            </a:solidFill>
            <a:ln w="25400">
              <a:noFill/>
            </a:ln>
            <a:scene3d>
              <a:camera prst="orthographicFront"/>
              <a:lightRig rig="threePt" dir="t"/>
            </a:scene3d>
            <a:sp3d contourW="25400"/>
          </c:spPr>
          <c:explosion val="0"/>
          <c:dPt>
            <c:idx val="0"/>
            <c:bubble3D val="0"/>
            <c:explosion val="0"/>
            <c:spPr>
              <a:gradFill>
                <a:gsLst>
                  <a:gs pos="0">
                    <a:srgbClr val="A0B7A5"/>
                  </a:gs>
                  <a:gs pos="94000">
                    <a:srgbClr val="6AA18E"/>
                  </a:gs>
                </a:gsLst>
                <a:lin ang="0" scaled="1"/>
              </a:gradFill>
              <a:ln w="25400">
                <a:noFill/>
              </a:ln>
              <a:effectLst>
                <a:outerShdw blurRad="215900" dist="127000" dir="10200000" sx="67000" sy="67000" algn="ctr" rotWithShape="0">
                  <a:srgbClr val="000000">
                    <a:alpha val="27000"/>
                  </a:srgbClr>
                </a:outerShdw>
              </a:effectLst>
              <a:scene3d>
                <a:camera prst="orthographicFront"/>
                <a:lightRig rig="threePt" dir="t"/>
              </a:scene3d>
              <a:sp3d contourW="25400"/>
            </c:spPr>
          </c:dPt>
          <c:dPt>
            <c:idx val="1"/>
            <c:bubble3D val="0"/>
            <c:spPr>
              <a:solidFill>
                <a:schemeClr val="accent4">
                  <a:lumMod val="60000"/>
                  <a:lumOff val="40000"/>
                </a:schemeClr>
              </a:solidFill>
              <a:ln w="25400">
                <a:noFill/>
              </a:ln>
              <a:effectLst/>
              <a:scene3d>
                <a:camera prst="orthographicFront"/>
                <a:lightRig rig="threePt" dir="t"/>
              </a:scene3d>
              <a:sp3d contourW="25400"/>
            </c:spPr>
          </c:dPt>
          <c:dPt>
            <c:idx val="2"/>
            <c:bubble3D val="0"/>
            <c:spPr>
              <a:solidFill>
                <a:schemeClr val="accent6">
                  <a:lumMod val="75000"/>
                </a:schemeClr>
              </a:solidFill>
              <a:ln w="25400">
                <a:no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a:t>
                    </a:r>
                    <a:r>
                      <a:rPr lang="en-US" altLang="zh-CN"/>
                      <a:t> </a:t>
                    </a:r>
                    <a:r>
                      <a:t>80.39%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a:t>
                    </a:r>
                    <a:r>
                      <a:rPr lang="en-US" altLang="zh-CN"/>
                      <a:t> </a:t>
                    </a:r>
                    <a:r>
                      <a:t>19.31%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经营支出</a:t>
                    </a:r>
                    <a:r>
                      <a:rPr lang="en-US" altLang="zh-CN"/>
                      <a:t> </a:t>
                    </a:r>
                    <a:r>
                      <a:t>0.30%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工作表.xlsx]Sheet1'!$C$63:$C$65</c:f>
              <c:strCache>
                <c:ptCount val="3"/>
                <c:pt idx="0">
                  <c:v>基本支出</c:v>
                </c:pt>
                <c:pt idx="1">
                  <c:v>项目支出</c:v>
                </c:pt>
                <c:pt idx="2">
                  <c:v>经营支出</c:v>
                </c:pt>
              </c:strCache>
            </c:strRef>
          </c:cat>
          <c:val>
            <c:numRef>
              <c:f>'[新建 XLSX 工作表.xlsx]Sheet1'!$D$63:$D$65</c:f>
              <c:numCache>
                <c:formatCode>0.00%</c:formatCode>
                <c:ptCount val="3"/>
                <c:pt idx="0">
                  <c:v>0.8039</c:v>
                </c:pt>
                <c:pt idx="1">
                  <c:v>0.1931</c:v>
                </c:pt>
                <c:pt idx="2">
                  <c:v>0.003</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工作表.xlsx]Sheet1'!$D$80</c:f>
              <c:strCache>
                <c:ptCount val="1"/>
                <c:pt idx="0">
                  <c:v>财政拨款收、支决算总计变动情况</c:v>
                </c:pt>
              </c:strCache>
            </c:strRef>
          </c:tx>
          <c:spPr>
            <a:gradFill>
              <a:gsLst>
                <a:gs pos="50000">
                  <a:srgbClr val="ED8D72"/>
                </a:gs>
                <a:gs pos="0">
                  <a:srgbClr val="F3B3A1"/>
                </a:gs>
                <a:gs pos="100000">
                  <a:srgbClr val="E66643"/>
                </a:gs>
              </a:gsLst>
              <a:lin scaled="1"/>
            </a:gradFill>
            <a:ln>
              <a:noFill/>
            </a:ln>
            <a:effectLst/>
          </c:spPr>
          <c:invertIfNegative val="0"/>
          <c:dPt>
            <c:idx val="1"/>
            <c:invertIfNegative val="0"/>
            <c:bubble3D val="0"/>
            <c:spPr>
              <a:gradFill>
                <a:gsLst>
                  <a:gs pos="0">
                    <a:srgbClr val="56A0B9"/>
                  </a:gs>
                  <a:gs pos="100000">
                    <a:srgbClr val="5DBDC3"/>
                  </a:gs>
                </a:gsLst>
                <a:lin scaled="1"/>
              </a:gradFill>
              <a:ln>
                <a:noFill/>
              </a:ln>
              <a:effectLst/>
            </c:spPr>
          </c:dPt>
          <c:dLbls>
            <c:dLbl>
              <c:idx val="0"/>
              <c:layout>
                <c:manualLayout>
                  <c:x val="0.00208333333333333"/>
                  <c:y val="-0.3645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工作表.xlsx]Sheet1'!$C$81:$C$82</c:f>
              <c:strCache>
                <c:ptCount val="2"/>
                <c:pt idx="0">
                  <c:v>2020年</c:v>
                </c:pt>
                <c:pt idx="1">
                  <c:v>2021年</c:v>
                </c:pt>
              </c:strCache>
            </c:strRef>
          </c:cat>
          <c:val>
            <c:numRef>
              <c:f>'[新建 XLSX 工作表.xlsx]Sheet1'!$D$81:$D$82</c:f>
              <c:numCache>
                <c:formatCode>General</c:formatCode>
                <c:ptCount val="2"/>
                <c:pt idx="0">
                  <c:v>10094.96</c:v>
                </c:pt>
                <c:pt idx="1">
                  <c:v>7666.45</c:v>
                </c:pt>
              </c:numCache>
            </c:numRef>
          </c:val>
        </c:ser>
        <c:dLbls>
          <c:showLegendKey val="0"/>
          <c:showVal val="1"/>
          <c:showCatName val="0"/>
          <c:showSerName val="0"/>
          <c:showPercent val="0"/>
          <c:showBubbleSize val="0"/>
        </c:dLbls>
        <c:gapWidth val="350"/>
        <c:overlap val="100"/>
        <c:axId val="818150828"/>
        <c:axId val="694261912"/>
      </c:barChart>
      <c:catAx>
        <c:axId val="8181508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261912"/>
        <c:crosses val="autoZero"/>
        <c:auto val="1"/>
        <c:lblAlgn val="ctr"/>
        <c:lblOffset val="100"/>
        <c:noMultiLvlLbl val="0"/>
      </c:catAx>
      <c:valAx>
        <c:axId val="69426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1508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一般公共预算财政拨款支出决算变动情况</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工作表.xlsx]Sheet1'!$D$96</c:f>
              <c:strCache>
                <c:ptCount val="1"/>
                <c:pt idx="0">
                  <c:v>一般公共预算财政拨款支出决算变动情况</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dPt>
          <c:dPt>
            <c:idx val="1"/>
            <c:invertIfNegative val="0"/>
            <c:bubble3D val="0"/>
            <c:spPr>
              <a:solidFill>
                <a:schemeClr val="accent3"/>
              </a:solidFill>
              <a:ln>
                <a:noFill/>
              </a:ln>
              <a:effectLst/>
            </c:spPr>
          </c:dPt>
          <c:dLbls>
            <c:dLbl>
              <c:idx val="0"/>
              <c:layout>
                <c:manualLayout>
                  <c:x val="0.00833333333333333"/>
                  <c:y val="-0.361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3020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工作表.xlsx]Sheet1'!$C$97:$C$98</c:f>
              <c:strCache>
                <c:ptCount val="2"/>
                <c:pt idx="0">
                  <c:v>2020年</c:v>
                </c:pt>
                <c:pt idx="1">
                  <c:v>2021年</c:v>
                </c:pt>
              </c:strCache>
            </c:strRef>
          </c:cat>
          <c:val>
            <c:numRef>
              <c:f>'[新建 XLSX 工作表.xlsx]Sheet1'!$D$97:$D$98</c:f>
              <c:numCache>
                <c:formatCode>General</c:formatCode>
                <c:ptCount val="2"/>
                <c:pt idx="0">
                  <c:v>10094.96</c:v>
                </c:pt>
                <c:pt idx="1">
                  <c:v>7666.45</c:v>
                </c:pt>
              </c:numCache>
            </c:numRef>
          </c:val>
        </c:ser>
        <c:dLbls>
          <c:showLegendKey val="0"/>
          <c:showVal val="1"/>
          <c:showCatName val="0"/>
          <c:showSerName val="0"/>
          <c:showPercent val="0"/>
          <c:showBubbleSize val="0"/>
        </c:dLbls>
        <c:gapWidth val="350"/>
        <c:overlap val="100"/>
        <c:axId val="88813858"/>
        <c:axId val="231335380"/>
      </c:barChart>
      <c:catAx>
        <c:axId val="888138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335380"/>
        <c:crosses val="autoZero"/>
        <c:auto val="1"/>
        <c:lblAlgn val="ctr"/>
        <c:lblOffset val="100"/>
        <c:noMultiLvlLbl val="0"/>
      </c:catAx>
      <c:valAx>
        <c:axId val="2313353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138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a:t>
            </a:r>
            <a:endParaRPr b="1"/>
          </a:p>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a:t>
            </a:r>
            <a:endParaRPr b="1"/>
          </a:p>
        </c:rich>
      </c:tx>
      <c:layout>
        <c:manualLayout>
          <c:xMode val="edge"/>
          <c:yMode val="edge"/>
          <c:x val="0.0151809570075298"/>
          <c:y val="0.0279503105590062"/>
        </c:manualLayout>
      </c:layout>
      <c:overlay val="0"/>
      <c:spPr>
        <a:noFill/>
        <a:ln>
          <a:noFill/>
        </a:ln>
        <a:effectLst/>
      </c:spPr>
    </c:title>
    <c:autoTitleDeleted val="0"/>
    <c:plotArea>
      <c:layout/>
      <c:pieChart>
        <c:varyColors val="1"/>
        <c:ser>
          <c:idx val="0"/>
          <c:order val="0"/>
          <c:tx>
            <c:strRef>
              <c:f>'[新建 XLSX 工作表.xlsx]Sheet1'!$D$110</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tx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bg1">
                  <a:lumMod val="50000"/>
                </a:schemeClr>
              </a:solidFill>
              <a:ln w="19050">
                <a:solidFill>
                  <a:schemeClr val="lt1"/>
                </a:solidFill>
              </a:ln>
              <a:effectLst/>
            </c:spPr>
          </c:dPt>
          <c:dPt>
            <c:idx val="4"/>
            <c:bubble3D val="0"/>
            <c:spPr>
              <a:solidFill>
                <a:schemeClr val="accent2">
                  <a:lumMod val="60000"/>
                  <a:lumOff val="40000"/>
                </a:schemeClr>
              </a:solidFill>
              <a:ln w="19050">
                <a:solidFill>
                  <a:schemeClr val="lt1"/>
                </a:solidFill>
              </a:ln>
              <a:effectLst/>
            </c:spPr>
          </c:dPt>
          <c:dLbls>
            <c:dLbl>
              <c:idx val="0"/>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科学技术</a:t>
                    </a:r>
                  </a:p>
                  <a:p>
                    <a:pPr defTabSz="914400">
                      <a:defRPr lang="zh-CN" sz="900" b="0" i="0" u="none" strike="noStrike" kern="1200" baseline="0">
                        <a:solidFill>
                          <a:schemeClr val="tx1">
                            <a:lumMod val="75000"/>
                            <a:lumOff val="25000"/>
                          </a:schemeClr>
                        </a:solidFill>
                        <a:latin typeface="+mn-lt"/>
                        <a:ea typeface="+mn-ea"/>
                        <a:cs typeface="+mn-cs"/>
                      </a:defRPr>
                    </a:pPr>
                    <a:r>
                      <a:t>0.52%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社会保障和就业27.39%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a:t>
                    </a:r>
                  </a:p>
                  <a:p>
                    <a:pPr defTabSz="914400">
                      <a:defRPr lang="zh-CN" sz="900" b="0" i="0" u="none" strike="noStrike" kern="1200" baseline="0">
                        <a:solidFill>
                          <a:schemeClr val="tx1">
                            <a:lumMod val="75000"/>
                            <a:lumOff val="25000"/>
                          </a:schemeClr>
                        </a:solidFill>
                        <a:latin typeface="+mn-lt"/>
                        <a:ea typeface="+mn-ea"/>
                        <a:cs typeface="+mn-cs"/>
                      </a:defRPr>
                    </a:pPr>
                    <a:r>
                      <a:t>3.09%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125"/>
                  <c:y val="-0.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资源勘探工业</a:t>
                    </a:r>
                  </a:p>
                  <a:p>
                    <a:pPr defTabSz="914400">
                      <a:defRPr lang="zh-CN" sz="900" b="0" i="0" u="none" strike="noStrike" kern="1200" baseline="0">
                        <a:solidFill>
                          <a:schemeClr val="tx1">
                            <a:lumMod val="75000"/>
                            <a:lumOff val="25000"/>
                          </a:schemeClr>
                        </a:solidFill>
                        <a:latin typeface="+mn-lt"/>
                        <a:ea typeface="+mn-ea"/>
                        <a:cs typeface="+mn-cs"/>
                      </a:defRPr>
                    </a:pPr>
                    <a:r>
                      <a:t>信息51.07%</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a:t>
                    </a:r>
                  </a:p>
                  <a:p>
                    <a:pPr defTabSz="914400">
                      <a:defRPr lang="zh-CN" sz="900" b="0" i="0" u="none" strike="noStrike" kern="1200" baseline="0">
                        <a:solidFill>
                          <a:schemeClr val="tx1">
                            <a:lumMod val="75000"/>
                            <a:lumOff val="25000"/>
                          </a:schemeClr>
                        </a:solidFill>
                        <a:latin typeface="+mn-lt"/>
                        <a:ea typeface="+mn-ea"/>
                        <a:cs typeface="+mn-cs"/>
                      </a:defRPr>
                    </a:pPr>
                    <a:r>
                      <a:t>17.93%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工作表.xlsx]Sheet1'!$C$111:$C$115</c:f>
              <c:strCache>
                <c:ptCount val="5"/>
                <c:pt idx="0">
                  <c:v>科学技术</c:v>
                </c:pt>
                <c:pt idx="1">
                  <c:v>社会保障和就业</c:v>
                </c:pt>
                <c:pt idx="2">
                  <c:v>卫生健康</c:v>
                </c:pt>
                <c:pt idx="3">
                  <c:v>资源勘探工业信息</c:v>
                </c:pt>
                <c:pt idx="4">
                  <c:v>住房保障</c:v>
                </c:pt>
              </c:strCache>
            </c:strRef>
          </c:cat>
          <c:val>
            <c:numRef>
              <c:f>'[新建 XLSX 工作表.xlsx]Sheet1'!$D$111:$D$115</c:f>
              <c:numCache>
                <c:formatCode>0.00%</c:formatCode>
                <c:ptCount val="5"/>
                <c:pt idx="0">
                  <c:v>0.0052</c:v>
                </c:pt>
                <c:pt idx="1">
                  <c:v>0.2739</c:v>
                </c:pt>
                <c:pt idx="2">
                  <c:v>0.0309</c:v>
                </c:pt>
                <c:pt idx="3">
                  <c:v>0.5107</c:v>
                </c:pt>
                <c:pt idx="4">
                  <c:v>0.1793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0.765277777777778</cdr:x>
      <cdr:y>0.109953703703704</cdr:y>
    </cdr:from>
    <cdr:to>
      <cdr:x>0.969305555555556</cdr:x>
      <cdr:y>0.217592592592593</cdr:y>
    </cdr:to>
    <cdr:sp>
      <cdr:nvSpPr>
        <cdr:cNvPr id="2" name="矩形 1"/>
        <cdr:cNvSpPr/>
      </cdr:nvSpPr>
      <cdr:spPr xmlns:a="http://schemas.openxmlformats.org/drawingml/2006/main">
        <a:xfrm xmlns:a="http://schemas.openxmlformats.org/drawingml/2006/main">
          <a:off x="3498850" y="301625"/>
          <a:ext cx="932815" cy="2952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0.775694444444444</cdr:x>
      <cdr:y>0.144675925925926</cdr:y>
    </cdr:from>
    <cdr:to>
      <cdr:x>0.979861111111111</cdr:x>
      <cdr:y>0.234953703703704</cdr:y>
    </cdr:to>
    <cdr:sp>
      <cdr:nvSpPr>
        <cdr:cNvPr id="2" name="矩形 1"/>
        <cdr:cNvSpPr/>
      </cdr:nvSpPr>
      <cdr:spPr xmlns:a="http://schemas.openxmlformats.org/drawingml/2006/main">
        <a:xfrm xmlns:a="http://schemas.openxmlformats.org/drawingml/2006/main">
          <a:off x="3546475" y="396875"/>
          <a:ext cx="933450"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0.759722222222222</cdr:x>
      <cdr:y>0.141203703703704</cdr:y>
    </cdr:from>
    <cdr:to>
      <cdr:x>0.940972222222222</cdr:x>
      <cdr:y>0.231481481481481</cdr:y>
    </cdr:to>
    <cdr:sp>
      <cdr:nvSpPr>
        <cdr:cNvPr id="2" name="矩形 1"/>
        <cdr:cNvSpPr/>
      </cdr:nvSpPr>
      <cdr:spPr xmlns:a="http://schemas.openxmlformats.org/drawingml/2006/main">
        <a:xfrm xmlns:a="http://schemas.openxmlformats.org/drawingml/2006/main">
          <a:off x="3473450" y="387350"/>
          <a:ext cx="828675"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4935</Words>
  <Characters>5540</Characters>
  <Lines>61</Lines>
  <Paragraphs>17</Paragraphs>
  <TotalTime>12</TotalTime>
  <ScaleCrop>false</ScaleCrop>
  <LinksUpToDate>false</LinksUpToDate>
  <CharactersWithSpaces>5608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蜀秦</cp:lastModifiedBy>
  <cp:lastPrinted>2022-08-20T11:33:00Z</cp:lastPrinted>
  <dcterms:modified xsi:type="dcterms:W3CDTF">2022-11-11T03:11:54Z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E0326483640F4C3BAB643837B61A0C0F</vt:lpwstr>
  </property>
</Properties>
</file>